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E2" w:rsidRPr="001018AD" w:rsidRDefault="00C951E2" w:rsidP="00C951E2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sz w:val="27"/>
          <w:szCs w:val="27"/>
          <w:lang w:val="es-ES_tradnl"/>
        </w:rPr>
      </w:pP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9 Días por la Vida: Lunes 14 de enero – martes 22 de enero</w:t>
      </w:r>
      <w:r w:rsidRPr="001018AD">
        <w:rPr>
          <w:color w:val="000000"/>
          <w:sz w:val="27"/>
          <w:szCs w:val="27"/>
          <w:lang w:val="es-ES_tradnl"/>
        </w:rPr>
        <w:t xml:space="preserve"> </w:t>
      </w:r>
      <w:r w:rsidRPr="001018AD">
        <w:rPr>
          <w:color w:val="000000"/>
          <w:sz w:val="27"/>
          <w:szCs w:val="27"/>
          <w:lang w:val="es-ES_tradnl"/>
        </w:rPr>
        <w:br/>
      </w:r>
      <w:r w:rsidRPr="001018AD">
        <w:rPr>
          <w:rStyle w:val="notranslate"/>
          <w:b/>
          <w:bCs/>
          <w:color w:val="000000"/>
          <w:lang w:val="es-ES_tradnl"/>
        </w:rPr>
        <w:t>www.9daysforlife.com</w:t>
      </w:r>
    </w:p>
    <w:p w:rsidR="00E277BC" w:rsidRPr="001018AD" w:rsidRDefault="00E277BC" w:rsidP="00E277BC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Cuarto Día: Jueves 17 de enero de 201</w:t>
      </w:r>
      <w:bookmarkStart w:id="0" w:name="_0j0zll"/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9</w:t>
      </w:r>
      <w:bookmarkEnd w:id="0"/>
    </w:p>
    <w:p w:rsidR="00E277BC" w:rsidRPr="001018AD" w:rsidRDefault="00E277BC" w:rsidP="00E277BC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 la paz de Dios llene los corazones de todas las personas que recorren el camino de la adopción.</w:t>
      </w:r>
    </w:p>
    <w:p w:rsidR="00E277BC" w:rsidRPr="001018AD" w:rsidRDefault="00E277BC" w:rsidP="00E277BC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 Nuestro, 3 Ave 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Gloria</w:t>
      </w:r>
    </w:p>
    <w:p w:rsidR="00E277BC" w:rsidRPr="001018AD" w:rsidRDefault="00E277BC" w:rsidP="00E277BC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Reflexión: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 Carta a los hebreos nos recuerda que “</w:t>
      </w:r>
      <w:r w:rsidRPr="001018AD">
        <w:rPr>
          <w:rStyle w:val="notranslate"/>
          <w:color w:val="000000"/>
          <w:sz w:val="22"/>
          <w:szCs w:val="22"/>
          <w:lang w:val="es-ES_tradnl"/>
        </w:rPr>
        <w:t>tenemos un consuelo poderoso los que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buscamos un refugio en la esperanza de lo prometido. Esta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esperanza nos mantiene firmes y seguros”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(Heb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6:18-19).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Las familias que esperan adoptar niños y las madres que están considerando dar a sus hijos en adopción enfrentan a menudo muchos desafíos en el camino.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Oremos para que todos los que participan en el proceso de una adopción estén llenos de la esperanza de Cristo y de “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 paz de Dios, que sobrepasa toda inteligencia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” (Fil 4:7).</w:t>
      </w:r>
      <w:r w:rsidRPr="001018AD">
        <w:rPr>
          <w:color w:val="000000"/>
          <w:sz w:val="22"/>
          <w:szCs w:val="22"/>
          <w:lang w:val="es-ES_tradnl"/>
        </w:rPr>
        <w:t xml:space="preserve"> Recordemos asimismo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 también nosotros podemos aferrarnos a esta esperanza, porque hemos recibido “un espíritu de hijos, en virtud del cual podemos llamar Padre a Dios” (Rom 8:15).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 nuestro Padre amoroso nos envuelva hoy a cada uno de nosotros en su amor y abra nuestros ojos a la fe para que podamos ver y regocijarnos en su amor.</w:t>
      </w:r>
    </w:p>
    <w:p w:rsidR="00E277BC" w:rsidRPr="001018AD" w:rsidRDefault="00E277BC" w:rsidP="00E277BC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Actos de reparación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(elige uno):</w:t>
      </w:r>
    </w:p>
    <w:p w:rsidR="00E277BC" w:rsidRPr="001018AD" w:rsidRDefault="00E277BC" w:rsidP="00E277BC">
      <w:pPr>
        <w:pStyle w:val="NormalWeb"/>
        <w:shd w:val="clear" w:color="auto" w:fill="FFFFFF"/>
        <w:spacing w:before="0" w:beforeAutospacing="0" w:after="120" w:afterAutospacing="0"/>
        <w:ind w:left="375" w:right="216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¿Te atraen las cosas dulces?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¿O prefieres los bocadillos salados?</w:t>
      </w:r>
      <w:r w:rsidRPr="001018AD">
        <w:rPr>
          <w:color w:val="000000"/>
          <w:sz w:val="22"/>
          <w:szCs w:val="22"/>
          <w:lang w:val="es-ES_tradnl"/>
        </w:rPr>
        <w:t xml:space="preserve"> Escoge </w:t>
      </w:r>
      <w:r w:rsidRPr="001018AD">
        <w:rPr>
          <w:rStyle w:val="notranslate"/>
          <w:color w:val="000000"/>
          <w:sz w:val="22"/>
          <w:szCs w:val="22"/>
          <w:lang w:val="es-ES_tradnl"/>
        </w:rPr>
        <w:t>tu antojo favorito y prívate de él por este día.</w:t>
      </w:r>
    </w:p>
    <w:p w:rsidR="00E277BC" w:rsidRPr="001018AD" w:rsidRDefault="00E277BC" w:rsidP="00E277BC">
      <w:pPr>
        <w:pStyle w:val="NormalWeb"/>
        <w:shd w:val="clear" w:color="auto" w:fill="FFFFFF"/>
        <w:spacing w:before="0" w:beforeAutospacing="0" w:after="120" w:afterAutospacing="0"/>
        <w:ind w:left="375" w:right="216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Haz un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acto de fe, esperanza o caridad (</w:t>
      </w:r>
      <w:hyperlink r:id="rId5" w:history="1">
        <w:r>
          <w:rPr>
            <w:rStyle w:val="Hyperlink"/>
            <w:sz w:val="22"/>
            <w:szCs w:val="22"/>
            <w:lang w:val="es-ES_tradnl"/>
          </w:rPr>
          <w:t>www.bit.ly/actos-de-fe-esperanza-caridad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).</w:t>
      </w:r>
    </w:p>
    <w:p w:rsidR="00E277BC" w:rsidRPr="001018AD" w:rsidRDefault="00E277BC" w:rsidP="00E277BC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 algún otro sacrificio, oración o acto de penitencia que te sientas llamado a hacer para la intención de hoy.</w:t>
      </w:r>
    </w:p>
    <w:p w:rsidR="00E277BC" w:rsidRPr="001018AD" w:rsidRDefault="00E277BC" w:rsidP="00E277BC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Un paso adicional: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“Acompañamiento de madres gestantes que estén considerando dar en adopción” sugiere nueve maneras de ofrecer apoyo permanente a una mujer que esté considerando dar en adopción a su hijo por nacer (</w:t>
      </w:r>
      <w:hyperlink r:id="rId6" w:history="1">
        <w:r>
          <w:rPr>
            <w:rStyle w:val="Hyperlink"/>
            <w:sz w:val="22"/>
            <w:szCs w:val="22"/>
            <w:lang w:val="es-ES_tradnl"/>
          </w:rPr>
          <w:t>www.bit.ly/mujeres-considerando-adoptar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Muchas de las sugerencias presentadas también son útiles para apoyar a una amiga que esté pasando por un embarazo inesperado y difícil, incluso si no se ha planteado la adopción.</w:t>
      </w:r>
    </w:p>
    <w:p w:rsidR="00E277BC" w:rsidRPr="001018AD" w:rsidRDefault="00E277BC" w:rsidP="00E277BC">
      <w:pPr>
        <w:pStyle w:val="NormalWeb"/>
        <w:shd w:val="clear" w:color="auto" w:fill="FFFFFF"/>
        <w:spacing w:before="0" w:beforeAutospacing="0" w:after="120" w:afterAutospacing="0"/>
        <w:rPr>
          <w:rStyle w:val="notranslate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Puedes encontrar recursos adicionales sobre la adopción en </w:t>
      </w:r>
      <w:hyperlink r:id="rId7" w:history="1">
        <w:r w:rsidRPr="001018AD">
          <w:rPr>
            <w:rStyle w:val="Hyperlink"/>
            <w:sz w:val="22"/>
            <w:szCs w:val="22"/>
            <w:lang w:val="es-ES_tradnl"/>
          </w:rPr>
          <w:t>www.usccb.org/adoption-resources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  <w:r>
        <w:rPr>
          <w:rStyle w:val="notranslate"/>
          <w:color w:val="000000"/>
          <w:sz w:val="22"/>
          <w:szCs w:val="22"/>
          <w:lang w:val="es-ES_tradnl"/>
        </w:rPr>
        <w:t xml:space="preserve"> (</w:t>
      </w:r>
      <w:r w:rsidRPr="00C216B8">
        <w:rPr>
          <w:rStyle w:val="notranslate"/>
          <w:color w:val="000000"/>
          <w:sz w:val="22"/>
          <w:szCs w:val="22"/>
          <w:lang w:val="es-ES_tradnl"/>
        </w:rPr>
        <w:t>Este sitio web está en inglés, pero también hay materiales en español</w:t>
      </w:r>
      <w:r>
        <w:rPr>
          <w:rStyle w:val="notranslate"/>
          <w:color w:val="000000"/>
          <w:sz w:val="22"/>
          <w:szCs w:val="22"/>
          <w:lang w:val="es-ES_tradnl"/>
        </w:rPr>
        <w:t>.)</w:t>
      </w:r>
      <w:r w:rsidRPr="00C216B8">
        <w:rPr>
          <w:rStyle w:val="notranslate"/>
          <w:color w:val="000000"/>
          <w:sz w:val="22"/>
          <w:szCs w:val="22"/>
          <w:lang w:val="es-ES_tradnl"/>
        </w:rPr>
        <w:t xml:space="preserve"> </w:t>
      </w:r>
    </w:p>
    <w:p w:rsidR="00E277BC" w:rsidRPr="001018AD" w:rsidRDefault="00E277BC" w:rsidP="00E277BC">
      <w:pPr>
        <w:pStyle w:val="NormalWeb"/>
        <w:shd w:val="clear" w:color="auto" w:fill="FFFFFF"/>
        <w:spacing w:before="0" w:beforeAutospacing="0" w:after="240" w:afterAutospacing="0"/>
        <w:rPr>
          <w:sz w:val="19"/>
          <w:szCs w:val="19"/>
          <w:lang w:val="es-ES_tradnl" w:eastAsia="en-US"/>
        </w:rPr>
      </w:pPr>
      <w:r w:rsidRPr="001018AD">
        <w:rPr>
          <w:i/>
          <w:iCs/>
          <w:sz w:val="19"/>
          <w:szCs w:val="19"/>
          <w:lang w:val="es-ES_tradnl" w:eastAsia="en-US"/>
        </w:rPr>
        <w:t>Leccionarios I</w:t>
      </w:r>
      <w:r w:rsidRPr="001018AD">
        <w:rPr>
          <w:iCs/>
          <w:sz w:val="19"/>
          <w:szCs w:val="19"/>
          <w:lang w:val="es-ES_tradnl" w:eastAsia="en-US"/>
        </w:rPr>
        <w:t xml:space="preserve">, </w:t>
      </w:r>
      <w:r w:rsidRPr="001018AD">
        <w:rPr>
          <w:i/>
          <w:iCs/>
          <w:sz w:val="19"/>
          <w:szCs w:val="19"/>
          <w:lang w:val="es-ES_tradnl" w:eastAsia="en-US"/>
        </w:rPr>
        <w:t>II</w:t>
      </w:r>
      <w:r w:rsidRPr="001018AD">
        <w:rPr>
          <w:iCs/>
          <w:sz w:val="19"/>
          <w:szCs w:val="19"/>
          <w:lang w:val="es-ES_tradnl" w:eastAsia="en-US"/>
        </w:rPr>
        <w:t xml:space="preserve"> y </w:t>
      </w:r>
      <w:r w:rsidRPr="001018AD">
        <w:rPr>
          <w:i/>
          <w:iCs/>
          <w:sz w:val="19"/>
          <w:szCs w:val="19"/>
          <w:lang w:val="es-ES_tradnl" w:eastAsia="en-US"/>
        </w:rPr>
        <w:t>III</w:t>
      </w:r>
      <w:r w:rsidRPr="001018AD">
        <w:rPr>
          <w:iCs/>
          <w:sz w:val="19"/>
          <w:szCs w:val="19"/>
          <w:lang w:val="es-ES_tradnl" w:eastAsia="en-US"/>
        </w:rPr>
        <w:t>, propiedad de la Comisión Episcopal de Pastoral Litúrgica de la Conferencia Episcopal Mexicana, copyright © 1987, quinta edición de septiembre de 2004. Utilizados con permiso. Todos los derechos reservados. Copyright © 2018, United States Conference of Catholic Bishops, Washington, DC. Todos los derechos reservados.</w:t>
      </w:r>
    </w:p>
    <w:p w:rsidR="003170F3" w:rsidRDefault="003170F3" w:rsidP="00E277BC">
      <w:pPr>
        <w:pStyle w:val="NormalWeb"/>
        <w:shd w:val="clear" w:color="auto" w:fill="FFFFFF"/>
        <w:spacing w:before="0" w:beforeAutospacing="0" w:after="120" w:afterAutospacing="0"/>
        <w:ind w:right="240"/>
      </w:pPr>
      <w:bookmarkStart w:id="1" w:name="_GoBack"/>
      <w:bookmarkEnd w:id="1"/>
    </w:p>
    <w:sectPr w:rsidR="0031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6C9"/>
    <w:multiLevelType w:val="multilevel"/>
    <w:tmpl w:val="F48085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BE7D6F"/>
    <w:multiLevelType w:val="multilevel"/>
    <w:tmpl w:val="B0AAFEB4"/>
    <w:lvl w:ilvl="0">
      <w:start w:val="1"/>
      <w:numFmt w:val="bullet"/>
      <w:lvlText w:val="▪"/>
      <w:lvlJc w:val="left"/>
      <w:pPr>
        <w:ind w:left="3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0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3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6CC5D75"/>
    <w:multiLevelType w:val="multilevel"/>
    <w:tmpl w:val="4984B0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C93BBD"/>
    <w:multiLevelType w:val="multilevel"/>
    <w:tmpl w:val="F32ED9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E8E069E"/>
    <w:multiLevelType w:val="multilevel"/>
    <w:tmpl w:val="29CCD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2685B8F"/>
    <w:multiLevelType w:val="multilevel"/>
    <w:tmpl w:val="6E7855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84197"/>
    <w:multiLevelType w:val="multilevel"/>
    <w:tmpl w:val="15CE0118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AD46A48"/>
    <w:multiLevelType w:val="multilevel"/>
    <w:tmpl w:val="477A76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B"/>
    <w:rsid w:val="000364F9"/>
    <w:rsid w:val="003170F3"/>
    <w:rsid w:val="004032C8"/>
    <w:rsid w:val="00427DBB"/>
    <w:rsid w:val="005F4F59"/>
    <w:rsid w:val="006233E3"/>
    <w:rsid w:val="008D0938"/>
    <w:rsid w:val="00B556F0"/>
    <w:rsid w:val="00C876DB"/>
    <w:rsid w:val="00C951E2"/>
    <w:rsid w:val="00D825FA"/>
    <w:rsid w:val="00E277BC"/>
    <w:rsid w:val="00EE4075"/>
    <w:rsid w:val="00F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7C26"/>
  <w15:chartTrackingRefBased/>
  <w15:docId w15:val="{15A7C30C-3D2D-4589-9185-1291549B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A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1E2"/>
    <w:pPr>
      <w:spacing w:before="100" w:beforeAutospacing="1" w:after="100" w:afterAutospacing="1"/>
    </w:pPr>
    <w:rPr>
      <w:lang w:val="es-ES" w:eastAsia="es-ES"/>
    </w:rPr>
  </w:style>
  <w:style w:type="character" w:customStyle="1" w:styleId="notranslate">
    <w:name w:val="notranslate"/>
    <w:basedOn w:val="DefaultParagraphFont"/>
    <w:rsid w:val="00C951E2"/>
  </w:style>
  <w:style w:type="character" w:styleId="FollowedHyperlink">
    <w:name w:val="FollowedHyperlink"/>
    <w:basedOn w:val="DefaultParagraphFont"/>
    <w:uiPriority w:val="99"/>
    <w:semiHidden/>
    <w:unhideWhenUsed/>
    <w:rsid w:val="008D09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ccb.org/about/pro-life-activities/adoption-prayer-and-education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cb.org/about/pro-life-activities/respect-life-program/2016/acompanamiento-de-madres-gestantes-que-esten-considerando-dar-en-adopcion.cfm" TargetMode="External"/><Relationship Id="rId5" Type="http://schemas.openxmlformats.org/officeDocument/2006/relationships/hyperlink" Target="http://ccc.usccb.org/flipbooks/uscca-spanish/files/assets/basic-html/page-59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Christopher McCaffery</cp:lastModifiedBy>
  <cp:revision>2</cp:revision>
  <cp:lastPrinted>2019-01-09T22:27:00Z</cp:lastPrinted>
  <dcterms:created xsi:type="dcterms:W3CDTF">2019-01-09T22:30:00Z</dcterms:created>
  <dcterms:modified xsi:type="dcterms:W3CDTF">2019-01-09T22:30:00Z</dcterms:modified>
</cp:coreProperties>
</file>