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C0C" w:rsidRDefault="00732A21" w:rsidP="002621FA">
      <w:pPr>
        <w:pStyle w:val="Heading1"/>
        <w:spacing w:before="120"/>
        <w:jc w:val="center"/>
        <w:rPr>
          <w:sz w:val="32"/>
          <w:szCs w:val="32"/>
        </w:rPr>
      </w:pPr>
      <w:r>
        <w:rPr>
          <w:sz w:val="32"/>
          <w:szCs w:val="32"/>
        </w:rPr>
        <w:t>Catholic School</w:t>
      </w:r>
      <w:r w:rsidR="00A62F51" w:rsidRPr="00A62F51">
        <w:rPr>
          <w:sz w:val="32"/>
          <w:szCs w:val="32"/>
        </w:rPr>
        <w:t xml:space="preserve"> </w:t>
      </w:r>
      <w:r w:rsidR="00546C41">
        <w:rPr>
          <w:sz w:val="32"/>
          <w:szCs w:val="32"/>
        </w:rPr>
        <w:t>Research and Studies</w:t>
      </w:r>
      <w:bookmarkStart w:id="0" w:name="_GoBack"/>
      <w:bookmarkEnd w:id="0"/>
    </w:p>
    <w:p w:rsidR="00113CAF" w:rsidRPr="00113CAF" w:rsidRDefault="00113CAF" w:rsidP="00113CAF">
      <w:pPr>
        <w:jc w:val="center"/>
      </w:pPr>
      <w:r>
        <w:t>Updated Jan 2018</w:t>
      </w:r>
    </w:p>
    <w:p w:rsidR="000764FB" w:rsidRDefault="000764FB" w:rsidP="00020666">
      <w:pPr>
        <w:shd w:val="clear" w:color="auto" w:fill="FFFFFF"/>
        <w:spacing w:after="150" w:line="432" w:lineRule="atLeast"/>
        <w:rPr>
          <w:rFonts w:asciiTheme="majorHAnsi" w:hAnsiTheme="majorHAnsi"/>
          <w:sz w:val="24"/>
          <w:szCs w:val="24"/>
        </w:rPr>
      </w:pPr>
    </w:p>
    <w:p w:rsidR="00E87671" w:rsidRDefault="00B814F6" w:rsidP="000C66CE">
      <w:pPr>
        <w:shd w:val="clear" w:color="auto" w:fill="FFFFFF"/>
        <w:spacing w:after="150" w:line="432" w:lineRule="atLeast"/>
        <w:rPr>
          <w:rFonts w:asciiTheme="majorHAnsi" w:eastAsia="Times New Roman" w:hAnsiTheme="majorHAnsi" w:cs="Helvetica"/>
          <w:b/>
          <w:color w:val="333333"/>
          <w:sz w:val="24"/>
          <w:szCs w:val="24"/>
        </w:rPr>
      </w:pPr>
      <w:r>
        <w:rPr>
          <w:rFonts w:asciiTheme="majorHAnsi" w:eastAsia="Times New Roman" w:hAnsiTheme="majorHAnsi" w:cs="Helvetica"/>
          <w:b/>
          <w:color w:val="333333"/>
          <w:sz w:val="24"/>
          <w:szCs w:val="24"/>
        </w:rPr>
        <w:t xml:space="preserve">Part I:  </w:t>
      </w:r>
      <w:r w:rsidR="00020666" w:rsidRPr="001842E3">
        <w:rPr>
          <w:rFonts w:asciiTheme="majorHAnsi" w:eastAsia="Times New Roman" w:hAnsiTheme="majorHAnsi" w:cs="Helvetica"/>
          <w:b/>
          <w:color w:val="333333"/>
          <w:sz w:val="24"/>
          <w:szCs w:val="24"/>
        </w:rPr>
        <w:t>Fast Facts for Catholic School Advocates</w:t>
      </w:r>
      <w:r w:rsidR="001473E7">
        <w:rPr>
          <w:rFonts w:asciiTheme="majorHAnsi" w:eastAsia="Times New Roman" w:hAnsiTheme="majorHAnsi" w:cs="Helvetica"/>
          <w:b/>
          <w:color w:val="333333"/>
          <w:sz w:val="24"/>
          <w:szCs w:val="24"/>
        </w:rPr>
        <w:t xml:space="preserve"> </w:t>
      </w:r>
      <w:r w:rsidR="00E87671">
        <w:rPr>
          <w:rFonts w:asciiTheme="majorHAnsi" w:eastAsia="Times New Roman" w:hAnsiTheme="majorHAnsi" w:cs="Helvetica"/>
          <w:b/>
          <w:color w:val="333333"/>
          <w:sz w:val="24"/>
          <w:szCs w:val="24"/>
        </w:rPr>
        <w:t xml:space="preserve"> </w:t>
      </w:r>
    </w:p>
    <w:p w:rsidR="000C66CE" w:rsidRPr="005D454F" w:rsidRDefault="00E87671" w:rsidP="000C66CE">
      <w:pPr>
        <w:shd w:val="clear" w:color="auto" w:fill="FFFFFF"/>
        <w:spacing w:after="150" w:line="432" w:lineRule="atLeast"/>
        <w:rPr>
          <w:rFonts w:asciiTheme="majorHAnsi" w:eastAsia="Times New Roman" w:hAnsiTheme="majorHAnsi" w:cs="Helvetica"/>
          <w:b/>
          <w:sz w:val="24"/>
          <w:szCs w:val="24"/>
        </w:rPr>
      </w:pPr>
      <w:r w:rsidRPr="005D454F">
        <w:rPr>
          <w:rFonts w:asciiTheme="majorHAnsi" w:eastAsia="Times New Roman" w:hAnsiTheme="majorHAnsi" w:cs="Helvetica"/>
          <w:b/>
          <w:sz w:val="24"/>
          <w:szCs w:val="24"/>
        </w:rPr>
        <w:t xml:space="preserve"> </w:t>
      </w:r>
      <w:r w:rsidRPr="005D454F">
        <w:rPr>
          <w:rFonts w:asciiTheme="majorHAnsi" w:hAnsiTheme="majorHAnsi" w:cs="Arial"/>
          <w:shd w:val="clear" w:color="auto" w:fill="FFFFFF"/>
        </w:rPr>
        <w:t xml:space="preserve">U.S. Catholic school enrollment reached its peak during the early 1960s when there were more than 5.2 million students in almost thirteen thousand schools across the nation.  The 1970s and 1980s saw a steep decline in both the number of schools and students.  By 1990, there were approximately 2.5 million students in 8,719 schools.   From the </w:t>
      </w:r>
      <w:proofErr w:type="spellStart"/>
      <w:r w:rsidRPr="005D454F">
        <w:rPr>
          <w:rFonts w:asciiTheme="majorHAnsi" w:hAnsiTheme="majorHAnsi" w:cs="Arial"/>
          <w:shd w:val="clear" w:color="auto" w:fill="FFFFFF"/>
        </w:rPr>
        <w:t>mid 1990s</w:t>
      </w:r>
      <w:proofErr w:type="spellEnd"/>
      <w:r w:rsidRPr="005D454F">
        <w:rPr>
          <w:rFonts w:asciiTheme="majorHAnsi" w:hAnsiTheme="majorHAnsi" w:cs="Arial"/>
          <w:shd w:val="clear" w:color="auto" w:fill="FFFFFF"/>
        </w:rPr>
        <w:t xml:space="preserve"> though 2000, there was a steady enrollment increase (1.3%) despite continued closings of schools.</w:t>
      </w:r>
    </w:p>
    <w:p w:rsidR="000764FB" w:rsidRPr="000C66CE" w:rsidRDefault="00EC6D3E" w:rsidP="000C66CE">
      <w:pPr>
        <w:pStyle w:val="ListParagraph"/>
        <w:numPr>
          <w:ilvl w:val="0"/>
          <w:numId w:val="19"/>
        </w:numPr>
        <w:shd w:val="clear" w:color="auto" w:fill="FFFFFF"/>
        <w:spacing w:after="150" w:line="432" w:lineRule="atLeast"/>
        <w:rPr>
          <w:rFonts w:asciiTheme="majorHAnsi" w:eastAsia="Times New Roman" w:hAnsiTheme="majorHAnsi" w:cs="Helvetica"/>
          <w:b/>
          <w:color w:val="333333"/>
          <w:sz w:val="24"/>
          <w:szCs w:val="24"/>
        </w:rPr>
      </w:pPr>
      <w:r w:rsidRPr="000C66CE">
        <w:rPr>
          <w:rFonts w:asciiTheme="majorHAnsi" w:hAnsiTheme="majorHAnsi" w:cs="Arial"/>
        </w:rPr>
        <w:t xml:space="preserve">In 2014, about 49.8 million </w:t>
      </w:r>
      <w:r w:rsidR="00020666" w:rsidRPr="000C66CE">
        <w:rPr>
          <w:rFonts w:asciiTheme="majorHAnsi" w:eastAsia="Times New Roman" w:hAnsiTheme="majorHAnsi" w:cs="Helvetica"/>
          <w:color w:val="333333"/>
          <w:sz w:val="24"/>
          <w:szCs w:val="24"/>
        </w:rPr>
        <w:t xml:space="preserve">children attended public schools; </w:t>
      </w:r>
      <w:r w:rsidR="00E87671">
        <w:rPr>
          <w:rFonts w:asciiTheme="majorHAnsi" w:eastAsia="Times New Roman" w:hAnsiTheme="majorHAnsi" w:cs="Helvetica"/>
          <w:color w:val="333333"/>
          <w:sz w:val="24"/>
          <w:szCs w:val="24"/>
        </w:rPr>
        <w:t>5.4</w:t>
      </w:r>
      <w:r w:rsidR="00F4591F" w:rsidRPr="000C66CE">
        <w:rPr>
          <w:rFonts w:asciiTheme="majorHAnsi" w:eastAsia="Times New Roman" w:hAnsiTheme="majorHAnsi" w:cs="Helvetica"/>
          <w:color w:val="333333"/>
          <w:sz w:val="24"/>
          <w:szCs w:val="24"/>
        </w:rPr>
        <w:t xml:space="preserve"> </w:t>
      </w:r>
      <w:r w:rsidR="00020666" w:rsidRPr="000C66CE">
        <w:rPr>
          <w:rFonts w:asciiTheme="majorHAnsi" w:eastAsia="Times New Roman" w:hAnsiTheme="majorHAnsi" w:cs="Helvetica"/>
          <w:color w:val="333333"/>
          <w:sz w:val="24"/>
          <w:szCs w:val="24"/>
        </w:rPr>
        <w:t xml:space="preserve">million children attended private schools, with </w:t>
      </w:r>
      <w:r w:rsidR="00E87671">
        <w:rPr>
          <w:rFonts w:asciiTheme="majorHAnsi" w:eastAsia="Times New Roman" w:hAnsiTheme="majorHAnsi" w:cs="Helvetica"/>
          <w:color w:val="333333"/>
          <w:sz w:val="24"/>
          <w:szCs w:val="24"/>
        </w:rPr>
        <w:t>1.8</w:t>
      </w:r>
      <w:r w:rsidR="00020666" w:rsidRPr="000C66CE">
        <w:rPr>
          <w:rFonts w:asciiTheme="majorHAnsi" w:eastAsia="Times New Roman" w:hAnsiTheme="majorHAnsi" w:cs="Helvetica"/>
          <w:color w:val="333333"/>
          <w:sz w:val="24"/>
          <w:szCs w:val="24"/>
        </w:rPr>
        <w:t xml:space="preserve"> million in Catholic schools. (NCEA</w:t>
      </w:r>
      <w:r w:rsidR="00E87671">
        <w:rPr>
          <w:rFonts w:asciiTheme="majorHAnsi" w:eastAsia="Times New Roman" w:hAnsiTheme="majorHAnsi" w:cs="Helvetica"/>
          <w:color w:val="333333"/>
          <w:sz w:val="24"/>
          <w:szCs w:val="24"/>
        </w:rPr>
        <w:t>, NCES</w:t>
      </w:r>
      <w:r w:rsidR="00020666" w:rsidRPr="000C66CE">
        <w:rPr>
          <w:rFonts w:asciiTheme="majorHAnsi" w:eastAsia="Times New Roman" w:hAnsiTheme="majorHAnsi" w:cs="Helvetica"/>
          <w:color w:val="333333"/>
          <w:sz w:val="24"/>
          <w:szCs w:val="24"/>
        </w:rPr>
        <w:t>)</w:t>
      </w:r>
    </w:p>
    <w:p w:rsidR="009E3DCB" w:rsidRPr="000764FB" w:rsidRDefault="009302EF" w:rsidP="000764FB">
      <w:pPr>
        <w:pStyle w:val="ListParagraph"/>
        <w:numPr>
          <w:ilvl w:val="0"/>
          <w:numId w:val="13"/>
        </w:numPr>
        <w:shd w:val="clear" w:color="auto" w:fill="FFFFFF"/>
        <w:spacing w:after="150" w:line="432" w:lineRule="atLeast"/>
        <w:rPr>
          <w:rFonts w:asciiTheme="majorHAnsi" w:eastAsia="Times New Roman" w:hAnsiTheme="majorHAnsi" w:cs="Helvetica"/>
          <w:b/>
          <w:color w:val="333333"/>
          <w:sz w:val="24"/>
          <w:szCs w:val="24"/>
        </w:rPr>
      </w:pPr>
      <w:r>
        <w:rPr>
          <w:rFonts w:asciiTheme="majorHAnsi" w:eastAsia="Times New Roman" w:hAnsiTheme="majorHAnsi" w:cs="Helvetica"/>
          <w:color w:val="333333"/>
          <w:sz w:val="24"/>
          <w:szCs w:val="24"/>
        </w:rPr>
        <w:t xml:space="preserve">There are </w:t>
      </w:r>
      <w:r w:rsidR="00E87671">
        <w:rPr>
          <w:rFonts w:asciiTheme="majorHAnsi" w:eastAsia="Times New Roman" w:hAnsiTheme="majorHAnsi" w:cs="Helvetica"/>
          <w:color w:val="333333"/>
          <w:sz w:val="24"/>
          <w:szCs w:val="24"/>
        </w:rPr>
        <w:t>152,883</w:t>
      </w:r>
      <w:r w:rsidR="00EC6D3E">
        <w:rPr>
          <w:rFonts w:asciiTheme="majorHAnsi" w:eastAsia="Times New Roman" w:hAnsiTheme="majorHAnsi" w:cs="Helvetica"/>
          <w:color w:val="333333"/>
          <w:sz w:val="24"/>
          <w:szCs w:val="24"/>
        </w:rPr>
        <w:t xml:space="preserve"> </w:t>
      </w:r>
      <w:r>
        <w:rPr>
          <w:rFonts w:asciiTheme="majorHAnsi" w:eastAsia="Times New Roman" w:hAnsiTheme="majorHAnsi" w:cs="Helvetica"/>
          <w:color w:val="333333"/>
          <w:sz w:val="24"/>
          <w:szCs w:val="24"/>
        </w:rPr>
        <w:t xml:space="preserve">staff </w:t>
      </w:r>
      <w:r w:rsidR="00EC6D3E">
        <w:rPr>
          <w:rFonts w:asciiTheme="majorHAnsi" w:eastAsia="Times New Roman" w:hAnsiTheme="majorHAnsi" w:cs="Helvetica"/>
          <w:color w:val="333333"/>
          <w:sz w:val="24"/>
          <w:szCs w:val="24"/>
        </w:rPr>
        <w:t>teaching</w:t>
      </w:r>
      <w:r w:rsidR="009E3DCB">
        <w:rPr>
          <w:rFonts w:asciiTheme="majorHAnsi" w:eastAsia="Times New Roman" w:hAnsiTheme="majorHAnsi" w:cs="Helvetica"/>
          <w:color w:val="333333"/>
          <w:sz w:val="24"/>
          <w:szCs w:val="24"/>
        </w:rPr>
        <w:t xml:space="preserve"> </w:t>
      </w:r>
      <w:r>
        <w:rPr>
          <w:rFonts w:asciiTheme="majorHAnsi" w:eastAsia="Times New Roman" w:hAnsiTheme="majorHAnsi" w:cs="Helvetica"/>
          <w:color w:val="333333"/>
          <w:sz w:val="24"/>
          <w:szCs w:val="24"/>
        </w:rPr>
        <w:t>in Catholic schools</w:t>
      </w:r>
      <w:r w:rsidR="00EC6D3E">
        <w:rPr>
          <w:rFonts w:asciiTheme="majorHAnsi" w:eastAsia="Times New Roman" w:hAnsiTheme="majorHAnsi" w:cs="Helvetica"/>
          <w:color w:val="333333"/>
          <w:sz w:val="24"/>
          <w:szCs w:val="24"/>
        </w:rPr>
        <w:t xml:space="preserve">; </w:t>
      </w:r>
      <w:r w:rsidR="00E87671">
        <w:rPr>
          <w:rFonts w:asciiTheme="majorHAnsi" w:eastAsia="Times New Roman" w:hAnsiTheme="majorHAnsi" w:cs="Helvetica"/>
          <w:color w:val="333333"/>
          <w:sz w:val="24"/>
          <w:szCs w:val="24"/>
        </w:rPr>
        <w:t>2.6</w:t>
      </w:r>
      <w:r w:rsidR="009E3DCB">
        <w:rPr>
          <w:rFonts w:asciiTheme="majorHAnsi" w:eastAsia="Times New Roman" w:hAnsiTheme="majorHAnsi" w:cs="Helvetica"/>
          <w:color w:val="333333"/>
          <w:sz w:val="24"/>
          <w:szCs w:val="24"/>
        </w:rPr>
        <w:t xml:space="preserve">% are Religious or Clergy. </w:t>
      </w:r>
      <w:r>
        <w:rPr>
          <w:rFonts w:asciiTheme="majorHAnsi" w:eastAsia="Times New Roman" w:hAnsiTheme="majorHAnsi" w:cs="Helvetica"/>
          <w:color w:val="333333"/>
          <w:sz w:val="24"/>
          <w:szCs w:val="24"/>
        </w:rPr>
        <w:t>(NCEA)</w:t>
      </w:r>
    </w:p>
    <w:p w:rsidR="000764FB" w:rsidRPr="000764FB" w:rsidRDefault="00020666" w:rsidP="000764FB">
      <w:pPr>
        <w:pStyle w:val="ListParagraph"/>
        <w:numPr>
          <w:ilvl w:val="0"/>
          <w:numId w:val="13"/>
        </w:numPr>
        <w:shd w:val="clear" w:color="auto" w:fill="FFFFFF"/>
        <w:spacing w:after="150" w:line="432" w:lineRule="atLeast"/>
        <w:rPr>
          <w:rFonts w:asciiTheme="majorHAnsi" w:eastAsia="Times New Roman" w:hAnsiTheme="majorHAnsi" w:cs="Helvetica"/>
          <w:b/>
          <w:color w:val="333333"/>
          <w:sz w:val="24"/>
          <w:szCs w:val="24"/>
        </w:rPr>
      </w:pPr>
      <w:r w:rsidRPr="000764FB">
        <w:rPr>
          <w:rFonts w:asciiTheme="majorHAnsi" w:eastAsia="Times New Roman" w:hAnsiTheme="majorHAnsi" w:cs="Helvetica"/>
          <w:color w:val="333333"/>
          <w:sz w:val="24"/>
          <w:szCs w:val="24"/>
        </w:rPr>
        <w:t xml:space="preserve">The student/teacher ratio in Catholic schools is </w:t>
      </w:r>
      <w:proofErr w:type="gramStart"/>
      <w:r w:rsidRPr="000764FB">
        <w:rPr>
          <w:rFonts w:asciiTheme="majorHAnsi" w:eastAsia="Times New Roman" w:hAnsiTheme="majorHAnsi" w:cs="Helvetica"/>
          <w:color w:val="333333"/>
          <w:sz w:val="24"/>
          <w:szCs w:val="24"/>
        </w:rPr>
        <w:t>1</w:t>
      </w:r>
      <w:r w:rsidR="00E87671">
        <w:rPr>
          <w:rFonts w:asciiTheme="majorHAnsi" w:eastAsia="Times New Roman" w:hAnsiTheme="majorHAnsi" w:cs="Helvetica"/>
          <w:color w:val="333333"/>
          <w:sz w:val="24"/>
          <w:szCs w:val="24"/>
        </w:rPr>
        <w:t>2</w:t>
      </w:r>
      <w:r w:rsidRPr="000764FB">
        <w:rPr>
          <w:rFonts w:asciiTheme="majorHAnsi" w:eastAsia="Times New Roman" w:hAnsiTheme="majorHAnsi" w:cs="Helvetica"/>
          <w:color w:val="333333"/>
          <w:sz w:val="24"/>
          <w:szCs w:val="24"/>
        </w:rPr>
        <w:t>:1.(</w:t>
      </w:r>
      <w:proofErr w:type="gramEnd"/>
      <w:r w:rsidRPr="000764FB">
        <w:rPr>
          <w:rFonts w:asciiTheme="majorHAnsi" w:eastAsia="Times New Roman" w:hAnsiTheme="majorHAnsi" w:cs="Helvetica"/>
          <w:color w:val="333333"/>
          <w:sz w:val="24"/>
          <w:szCs w:val="24"/>
        </w:rPr>
        <w:t>NCEA)</w:t>
      </w:r>
    </w:p>
    <w:p w:rsidR="000764FB" w:rsidRPr="000764FB" w:rsidRDefault="00020666" w:rsidP="000764FB">
      <w:pPr>
        <w:pStyle w:val="ListParagraph"/>
        <w:numPr>
          <w:ilvl w:val="0"/>
          <w:numId w:val="13"/>
        </w:numPr>
        <w:shd w:val="clear" w:color="auto" w:fill="FFFFFF"/>
        <w:spacing w:after="150" w:line="432" w:lineRule="atLeast"/>
        <w:rPr>
          <w:rFonts w:asciiTheme="majorHAnsi" w:eastAsia="Times New Roman" w:hAnsiTheme="majorHAnsi" w:cs="Helvetica"/>
          <w:b/>
          <w:color w:val="333333"/>
          <w:sz w:val="24"/>
          <w:szCs w:val="24"/>
        </w:rPr>
      </w:pPr>
      <w:r w:rsidRPr="000764FB">
        <w:rPr>
          <w:rFonts w:asciiTheme="majorHAnsi" w:eastAsia="Times New Roman" w:hAnsiTheme="majorHAnsi" w:cs="Helvetica"/>
          <w:color w:val="333333"/>
          <w:sz w:val="24"/>
          <w:szCs w:val="24"/>
        </w:rPr>
        <w:t>99% of students who attend Catholic hi</w:t>
      </w:r>
      <w:r w:rsidR="0065621A">
        <w:rPr>
          <w:rFonts w:asciiTheme="majorHAnsi" w:eastAsia="Times New Roman" w:hAnsiTheme="majorHAnsi" w:cs="Helvetica"/>
          <w:color w:val="333333"/>
          <w:sz w:val="24"/>
          <w:szCs w:val="24"/>
        </w:rPr>
        <w:t xml:space="preserve">gh school graduate. </w:t>
      </w:r>
      <w:r w:rsidR="000C66CE">
        <w:rPr>
          <w:rFonts w:asciiTheme="majorHAnsi" w:eastAsia="Times New Roman" w:hAnsiTheme="majorHAnsi" w:cs="Helvetica"/>
          <w:color w:val="333333"/>
          <w:sz w:val="24"/>
          <w:szCs w:val="24"/>
        </w:rPr>
        <w:t xml:space="preserve"> </w:t>
      </w:r>
      <w:r w:rsidR="007A2BCC">
        <w:rPr>
          <w:rFonts w:asciiTheme="majorHAnsi" w:eastAsia="Times New Roman" w:hAnsiTheme="majorHAnsi" w:cs="Helvetica"/>
          <w:color w:val="333333"/>
          <w:sz w:val="24"/>
          <w:szCs w:val="24"/>
        </w:rPr>
        <w:t>Of those, 84</w:t>
      </w:r>
      <w:r w:rsidRPr="000764FB">
        <w:rPr>
          <w:rFonts w:asciiTheme="majorHAnsi" w:eastAsia="Times New Roman" w:hAnsiTheme="majorHAnsi" w:cs="Helvetica"/>
          <w:color w:val="333333"/>
          <w:sz w:val="24"/>
          <w:szCs w:val="24"/>
        </w:rPr>
        <w:t>% attend 4-year colleges. (NCEA)</w:t>
      </w:r>
    </w:p>
    <w:p w:rsidR="000764FB" w:rsidRPr="009302EF" w:rsidRDefault="00020666" w:rsidP="000764FB">
      <w:pPr>
        <w:pStyle w:val="ListParagraph"/>
        <w:numPr>
          <w:ilvl w:val="0"/>
          <w:numId w:val="13"/>
        </w:numPr>
        <w:shd w:val="clear" w:color="auto" w:fill="FFFFFF"/>
        <w:spacing w:after="150" w:line="432" w:lineRule="atLeast"/>
        <w:rPr>
          <w:rFonts w:asciiTheme="majorHAnsi" w:eastAsia="Times New Roman" w:hAnsiTheme="majorHAnsi" w:cs="Helvetica"/>
          <w:b/>
          <w:color w:val="333333"/>
          <w:sz w:val="24"/>
          <w:szCs w:val="24"/>
        </w:rPr>
      </w:pPr>
      <w:r w:rsidRPr="000764FB">
        <w:rPr>
          <w:rFonts w:asciiTheme="majorHAnsi" w:eastAsia="Times New Roman" w:hAnsiTheme="majorHAnsi" w:cs="Helvetica"/>
          <w:color w:val="333333"/>
          <w:sz w:val="24"/>
          <w:szCs w:val="24"/>
        </w:rPr>
        <w:t>Currently, 6 of the 9 Supreme Court Justices went to Catholic school. (Boston.com)</w:t>
      </w:r>
    </w:p>
    <w:p w:rsidR="009302EF" w:rsidRPr="000764FB" w:rsidRDefault="009302EF" w:rsidP="000764FB">
      <w:pPr>
        <w:pStyle w:val="ListParagraph"/>
        <w:numPr>
          <w:ilvl w:val="0"/>
          <w:numId w:val="13"/>
        </w:numPr>
        <w:shd w:val="clear" w:color="auto" w:fill="FFFFFF"/>
        <w:spacing w:after="150" w:line="432" w:lineRule="atLeast"/>
        <w:rPr>
          <w:rFonts w:asciiTheme="majorHAnsi" w:eastAsia="Times New Roman" w:hAnsiTheme="majorHAnsi" w:cs="Helvetica"/>
          <w:b/>
          <w:color w:val="333333"/>
          <w:sz w:val="24"/>
          <w:szCs w:val="24"/>
        </w:rPr>
      </w:pPr>
      <w:r>
        <w:rPr>
          <w:rFonts w:asciiTheme="majorHAnsi" w:eastAsia="Times New Roman" w:hAnsiTheme="majorHAnsi" w:cs="Helvetica"/>
          <w:color w:val="333333"/>
          <w:sz w:val="24"/>
          <w:szCs w:val="24"/>
        </w:rPr>
        <w:t>Since 1994, the percentage of schools with boards has increased from 14.35% to a current level of 84.8% (NCEA)</w:t>
      </w:r>
    </w:p>
    <w:p w:rsidR="000764FB" w:rsidRPr="000764FB" w:rsidRDefault="00020666" w:rsidP="000764FB">
      <w:pPr>
        <w:pStyle w:val="ListParagraph"/>
        <w:numPr>
          <w:ilvl w:val="0"/>
          <w:numId w:val="13"/>
        </w:numPr>
        <w:shd w:val="clear" w:color="auto" w:fill="FFFFFF"/>
        <w:spacing w:after="150" w:line="432" w:lineRule="atLeast"/>
        <w:rPr>
          <w:rFonts w:asciiTheme="majorHAnsi" w:eastAsia="Times New Roman" w:hAnsiTheme="majorHAnsi" w:cs="Helvetica"/>
          <w:b/>
          <w:color w:val="333333"/>
          <w:sz w:val="24"/>
          <w:szCs w:val="24"/>
        </w:rPr>
      </w:pPr>
      <w:r w:rsidRPr="000764FB">
        <w:rPr>
          <w:rFonts w:asciiTheme="majorHAnsi" w:eastAsia="Times New Roman" w:hAnsiTheme="majorHAnsi" w:cs="Helvetica"/>
          <w:color w:val="333333"/>
          <w:sz w:val="24"/>
          <w:szCs w:val="24"/>
        </w:rPr>
        <w:t xml:space="preserve">The minority population accounts for </w:t>
      </w:r>
      <w:r w:rsidR="00113CAF">
        <w:rPr>
          <w:rFonts w:asciiTheme="majorHAnsi" w:eastAsia="Times New Roman" w:hAnsiTheme="majorHAnsi" w:cs="Helvetica"/>
          <w:color w:val="333333"/>
          <w:sz w:val="24"/>
          <w:szCs w:val="24"/>
        </w:rPr>
        <w:t>20.7</w:t>
      </w:r>
      <w:r w:rsidRPr="000764FB">
        <w:rPr>
          <w:rFonts w:asciiTheme="majorHAnsi" w:eastAsia="Times New Roman" w:hAnsiTheme="majorHAnsi" w:cs="Helvetica"/>
          <w:color w:val="333333"/>
          <w:sz w:val="24"/>
          <w:szCs w:val="24"/>
        </w:rPr>
        <w:t>% of t</w:t>
      </w:r>
      <w:r w:rsidR="007561A7">
        <w:rPr>
          <w:rFonts w:asciiTheme="majorHAnsi" w:eastAsia="Times New Roman" w:hAnsiTheme="majorHAnsi" w:cs="Helvetica"/>
          <w:color w:val="333333"/>
          <w:sz w:val="24"/>
          <w:szCs w:val="24"/>
        </w:rPr>
        <w:t>he Catholic school population (16.8</w:t>
      </w:r>
      <w:r w:rsidRPr="000764FB">
        <w:rPr>
          <w:rFonts w:asciiTheme="majorHAnsi" w:eastAsia="Times New Roman" w:hAnsiTheme="majorHAnsi" w:cs="Helvetica"/>
          <w:color w:val="333333"/>
          <w:sz w:val="24"/>
          <w:szCs w:val="24"/>
        </w:rPr>
        <w:t xml:space="preserve">% Latino; 8% Black/African American; </w:t>
      </w:r>
      <w:r w:rsidR="0065621A">
        <w:rPr>
          <w:rFonts w:asciiTheme="majorHAnsi" w:eastAsia="Times New Roman" w:hAnsiTheme="majorHAnsi" w:cs="Helvetica"/>
          <w:color w:val="333333"/>
          <w:sz w:val="24"/>
          <w:szCs w:val="24"/>
        </w:rPr>
        <w:t>5</w:t>
      </w:r>
      <w:r w:rsidRPr="000764FB">
        <w:rPr>
          <w:rFonts w:asciiTheme="majorHAnsi" w:eastAsia="Times New Roman" w:hAnsiTheme="majorHAnsi" w:cs="Helvetica"/>
          <w:color w:val="333333"/>
          <w:sz w:val="24"/>
          <w:szCs w:val="24"/>
        </w:rPr>
        <w:t xml:space="preserve">% Asian American; </w:t>
      </w:r>
      <w:r w:rsidR="007561A7">
        <w:rPr>
          <w:rFonts w:asciiTheme="majorHAnsi" w:eastAsia="Times New Roman" w:hAnsiTheme="majorHAnsi" w:cs="Helvetica"/>
          <w:color w:val="333333"/>
          <w:sz w:val="24"/>
          <w:szCs w:val="24"/>
        </w:rPr>
        <w:t>6</w:t>
      </w:r>
      <w:r w:rsidRPr="000764FB">
        <w:rPr>
          <w:rFonts w:asciiTheme="majorHAnsi" w:eastAsia="Times New Roman" w:hAnsiTheme="majorHAnsi" w:cs="Helvetica"/>
          <w:color w:val="333333"/>
          <w:sz w:val="24"/>
          <w:szCs w:val="24"/>
        </w:rPr>
        <w:t>% Multiracial). (NCEA)</w:t>
      </w:r>
    </w:p>
    <w:p w:rsidR="000764FB" w:rsidRPr="000764FB" w:rsidRDefault="00020666" w:rsidP="000764FB">
      <w:pPr>
        <w:pStyle w:val="ListParagraph"/>
        <w:numPr>
          <w:ilvl w:val="0"/>
          <w:numId w:val="13"/>
        </w:numPr>
        <w:shd w:val="clear" w:color="auto" w:fill="FFFFFF"/>
        <w:spacing w:after="150" w:line="432" w:lineRule="atLeast"/>
        <w:rPr>
          <w:rFonts w:asciiTheme="majorHAnsi" w:eastAsia="Times New Roman" w:hAnsiTheme="majorHAnsi" w:cs="Helvetica"/>
          <w:b/>
          <w:color w:val="333333"/>
          <w:sz w:val="24"/>
          <w:szCs w:val="24"/>
        </w:rPr>
      </w:pPr>
      <w:r w:rsidRPr="000764FB">
        <w:rPr>
          <w:rFonts w:asciiTheme="majorHAnsi" w:eastAsia="Times New Roman" w:hAnsiTheme="majorHAnsi" w:cs="Helvetica"/>
          <w:color w:val="333333"/>
          <w:sz w:val="24"/>
          <w:szCs w:val="24"/>
        </w:rPr>
        <w:t>1</w:t>
      </w:r>
      <w:r w:rsidR="007A2BCC">
        <w:rPr>
          <w:rFonts w:asciiTheme="majorHAnsi" w:eastAsia="Times New Roman" w:hAnsiTheme="majorHAnsi" w:cs="Helvetica"/>
          <w:color w:val="333333"/>
          <w:sz w:val="24"/>
          <w:szCs w:val="24"/>
        </w:rPr>
        <w:t>9</w:t>
      </w:r>
      <w:r w:rsidRPr="000764FB">
        <w:rPr>
          <w:rFonts w:asciiTheme="majorHAnsi" w:eastAsia="Times New Roman" w:hAnsiTheme="majorHAnsi" w:cs="Helvetica"/>
          <w:color w:val="333333"/>
          <w:sz w:val="24"/>
          <w:szCs w:val="24"/>
        </w:rPr>
        <w:t>% of Catholic school students are not Catholic. (NCEA)</w:t>
      </w:r>
    </w:p>
    <w:p w:rsidR="000764FB" w:rsidRPr="000764FB" w:rsidRDefault="00020666" w:rsidP="000764FB">
      <w:pPr>
        <w:pStyle w:val="ListParagraph"/>
        <w:numPr>
          <w:ilvl w:val="0"/>
          <w:numId w:val="13"/>
        </w:numPr>
        <w:shd w:val="clear" w:color="auto" w:fill="FFFFFF"/>
        <w:spacing w:after="150" w:line="432" w:lineRule="atLeast"/>
        <w:rPr>
          <w:rFonts w:asciiTheme="majorHAnsi" w:eastAsia="Times New Roman" w:hAnsiTheme="majorHAnsi" w:cs="Helvetica"/>
          <w:b/>
          <w:color w:val="333333"/>
          <w:sz w:val="24"/>
          <w:szCs w:val="24"/>
        </w:rPr>
      </w:pPr>
      <w:r w:rsidRPr="000764FB">
        <w:rPr>
          <w:rFonts w:asciiTheme="majorHAnsi" w:eastAsia="Times New Roman" w:hAnsiTheme="majorHAnsi" w:cs="Helvetica"/>
          <w:color w:val="333333"/>
          <w:sz w:val="24"/>
          <w:szCs w:val="24"/>
        </w:rPr>
        <w:t>45% of Catholic schools in the United States participate in Federal Nutrition Programs, which provide over 2</w:t>
      </w:r>
      <w:r w:rsidR="0065621A">
        <w:rPr>
          <w:rFonts w:asciiTheme="majorHAnsi" w:eastAsia="Times New Roman" w:hAnsiTheme="majorHAnsi" w:cs="Helvetica"/>
          <w:color w:val="333333"/>
          <w:sz w:val="24"/>
          <w:szCs w:val="24"/>
        </w:rPr>
        <w:t>70</w:t>
      </w:r>
      <w:r w:rsidRPr="000764FB">
        <w:rPr>
          <w:rFonts w:asciiTheme="majorHAnsi" w:eastAsia="Times New Roman" w:hAnsiTheme="majorHAnsi" w:cs="Helvetica"/>
          <w:color w:val="333333"/>
          <w:sz w:val="24"/>
          <w:szCs w:val="24"/>
        </w:rPr>
        <w:t>,000 free meals to children daily.</w:t>
      </w:r>
    </w:p>
    <w:p w:rsidR="000764FB" w:rsidRPr="000764FB" w:rsidRDefault="00020666" w:rsidP="000764FB">
      <w:pPr>
        <w:pStyle w:val="ListParagraph"/>
        <w:numPr>
          <w:ilvl w:val="0"/>
          <w:numId w:val="13"/>
        </w:numPr>
        <w:shd w:val="clear" w:color="auto" w:fill="FFFFFF"/>
        <w:spacing w:after="150" w:line="432" w:lineRule="atLeast"/>
        <w:rPr>
          <w:rFonts w:asciiTheme="majorHAnsi" w:eastAsia="Times New Roman" w:hAnsiTheme="majorHAnsi" w:cs="Helvetica"/>
          <w:b/>
          <w:color w:val="333333"/>
          <w:sz w:val="24"/>
          <w:szCs w:val="24"/>
        </w:rPr>
      </w:pPr>
      <w:r w:rsidRPr="000764FB">
        <w:rPr>
          <w:rFonts w:asciiTheme="majorHAnsi" w:eastAsia="Times New Roman" w:hAnsiTheme="majorHAnsi" w:cs="Helvetica"/>
          <w:color w:val="333333"/>
          <w:sz w:val="24"/>
          <w:szCs w:val="24"/>
        </w:rPr>
        <w:t>The mean cost per pupil at Catholic schools is $5,</w:t>
      </w:r>
      <w:r w:rsidR="007A2BCC">
        <w:rPr>
          <w:rFonts w:asciiTheme="majorHAnsi" w:eastAsia="Times New Roman" w:hAnsiTheme="majorHAnsi" w:cs="Helvetica"/>
          <w:color w:val="333333"/>
          <w:sz w:val="24"/>
          <w:szCs w:val="24"/>
        </w:rPr>
        <w:t>936</w:t>
      </w:r>
      <w:r w:rsidRPr="000764FB">
        <w:rPr>
          <w:rFonts w:asciiTheme="majorHAnsi" w:eastAsia="Times New Roman" w:hAnsiTheme="majorHAnsi" w:cs="Helvetica"/>
          <w:color w:val="333333"/>
          <w:sz w:val="24"/>
          <w:szCs w:val="24"/>
        </w:rPr>
        <w:t>; the national per pupil average is $1</w:t>
      </w:r>
      <w:r w:rsidR="0065621A">
        <w:rPr>
          <w:rFonts w:asciiTheme="majorHAnsi" w:eastAsia="Times New Roman" w:hAnsiTheme="majorHAnsi" w:cs="Helvetica"/>
          <w:color w:val="333333"/>
          <w:sz w:val="24"/>
          <w:szCs w:val="24"/>
        </w:rPr>
        <w:t>2,054</w:t>
      </w:r>
      <w:r w:rsidRPr="000764FB">
        <w:rPr>
          <w:rFonts w:asciiTheme="majorHAnsi" w:eastAsia="Times New Roman" w:hAnsiTheme="majorHAnsi" w:cs="Helvetica"/>
          <w:color w:val="333333"/>
          <w:sz w:val="24"/>
          <w:szCs w:val="24"/>
        </w:rPr>
        <w:t>). (NCEA; National Center for Education Statistics)</w:t>
      </w:r>
    </w:p>
    <w:p w:rsidR="00020666" w:rsidRPr="000764FB" w:rsidRDefault="00020666" w:rsidP="000764FB">
      <w:pPr>
        <w:pStyle w:val="ListParagraph"/>
        <w:numPr>
          <w:ilvl w:val="0"/>
          <w:numId w:val="13"/>
        </w:numPr>
        <w:shd w:val="clear" w:color="auto" w:fill="FFFFFF"/>
        <w:spacing w:after="150" w:line="432" w:lineRule="atLeast"/>
        <w:rPr>
          <w:rFonts w:asciiTheme="majorHAnsi" w:eastAsia="Times New Roman" w:hAnsiTheme="majorHAnsi" w:cs="Helvetica"/>
          <w:b/>
          <w:color w:val="333333"/>
          <w:sz w:val="24"/>
          <w:szCs w:val="24"/>
        </w:rPr>
      </w:pPr>
      <w:r w:rsidRPr="000764FB">
        <w:rPr>
          <w:rFonts w:asciiTheme="majorHAnsi" w:eastAsia="Times New Roman" w:hAnsiTheme="majorHAnsi" w:cs="Helvetica"/>
          <w:color w:val="333333"/>
          <w:sz w:val="24"/>
          <w:szCs w:val="24"/>
        </w:rPr>
        <w:t>Catholic schools provide over 2</w:t>
      </w:r>
      <w:r w:rsidR="007A2BCC">
        <w:rPr>
          <w:rFonts w:asciiTheme="majorHAnsi" w:eastAsia="Times New Roman" w:hAnsiTheme="majorHAnsi" w:cs="Helvetica"/>
          <w:color w:val="333333"/>
          <w:sz w:val="24"/>
          <w:szCs w:val="24"/>
        </w:rPr>
        <w:t>1</w:t>
      </w:r>
      <w:r w:rsidRPr="000764FB">
        <w:rPr>
          <w:rFonts w:asciiTheme="majorHAnsi" w:eastAsia="Times New Roman" w:hAnsiTheme="majorHAnsi" w:cs="Helvetica"/>
          <w:color w:val="333333"/>
          <w:sz w:val="24"/>
          <w:szCs w:val="24"/>
        </w:rPr>
        <w:t xml:space="preserve"> billion dollars a year in savings for the nation. (NCEA)</w:t>
      </w:r>
    </w:p>
    <w:p w:rsidR="00A62F51" w:rsidRPr="001842E3" w:rsidRDefault="00A62F51" w:rsidP="002841E4">
      <w:pPr>
        <w:spacing w:after="0"/>
        <w:rPr>
          <w:rFonts w:asciiTheme="majorHAnsi" w:hAnsiTheme="majorHAnsi"/>
          <w:sz w:val="24"/>
          <w:szCs w:val="24"/>
        </w:rPr>
      </w:pPr>
    </w:p>
    <w:p w:rsidR="00CD0184" w:rsidRDefault="00E64023" w:rsidP="004521BC">
      <w:pPr>
        <w:spacing w:after="0"/>
        <w:rPr>
          <w:rFonts w:asciiTheme="majorHAnsi" w:hAnsiTheme="majorHAnsi"/>
          <w:b/>
          <w:sz w:val="24"/>
          <w:szCs w:val="24"/>
        </w:rPr>
      </w:pPr>
      <w:r>
        <w:rPr>
          <w:rFonts w:asciiTheme="majorHAnsi" w:hAnsiTheme="majorHAnsi"/>
          <w:b/>
          <w:sz w:val="24"/>
          <w:szCs w:val="24"/>
        </w:rPr>
        <w:t xml:space="preserve">Part II:  </w:t>
      </w:r>
      <w:r w:rsidR="00CD0184">
        <w:rPr>
          <w:rFonts w:asciiTheme="majorHAnsi" w:hAnsiTheme="majorHAnsi"/>
          <w:b/>
          <w:sz w:val="24"/>
          <w:szCs w:val="24"/>
        </w:rPr>
        <w:t>Faith Life and Formation</w:t>
      </w:r>
    </w:p>
    <w:p w:rsidR="00CD0184" w:rsidRDefault="00CD0184" w:rsidP="004521BC">
      <w:pPr>
        <w:spacing w:after="0"/>
        <w:rPr>
          <w:rFonts w:asciiTheme="majorHAnsi" w:hAnsiTheme="majorHAnsi"/>
          <w:b/>
          <w:sz w:val="24"/>
          <w:szCs w:val="24"/>
        </w:rPr>
      </w:pPr>
    </w:p>
    <w:p w:rsidR="004521BC" w:rsidRPr="002D4389" w:rsidRDefault="004521BC" w:rsidP="002D4389">
      <w:pPr>
        <w:pStyle w:val="ListParagraph"/>
        <w:numPr>
          <w:ilvl w:val="0"/>
          <w:numId w:val="17"/>
        </w:numPr>
        <w:spacing w:after="0"/>
        <w:rPr>
          <w:rFonts w:asciiTheme="majorHAnsi" w:hAnsiTheme="majorHAnsi"/>
          <w:b/>
          <w:sz w:val="24"/>
          <w:szCs w:val="24"/>
        </w:rPr>
      </w:pPr>
      <w:r w:rsidRPr="002D4389">
        <w:rPr>
          <w:rFonts w:asciiTheme="majorHAnsi" w:hAnsiTheme="majorHAnsi"/>
          <w:b/>
          <w:sz w:val="24"/>
          <w:szCs w:val="24"/>
        </w:rPr>
        <w:t>ACRE Testing and Catholic Schools</w:t>
      </w:r>
    </w:p>
    <w:p w:rsidR="002D4389" w:rsidRDefault="004521BC" w:rsidP="002D4389">
      <w:pPr>
        <w:pStyle w:val="ListParagraph"/>
        <w:numPr>
          <w:ilvl w:val="1"/>
          <w:numId w:val="17"/>
        </w:numPr>
        <w:spacing w:after="0"/>
        <w:rPr>
          <w:rFonts w:asciiTheme="majorHAnsi" w:hAnsiTheme="majorHAnsi"/>
          <w:sz w:val="24"/>
          <w:szCs w:val="24"/>
        </w:rPr>
      </w:pPr>
      <w:r w:rsidRPr="002D4389">
        <w:rPr>
          <w:rFonts w:asciiTheme="majorHAnsi" w:hAnsiTheme="majorHAnsi"/>
          <w:sz w:val="24"/>
          <w:szCs w:val="24"/>
        </w:rPr>
        <w:t xml:space="preserve">2010 study, </w:t>
      </w:r>
      <w:r w:rsidRPr="002D4389">
        <w:rPr>
          <w:rFonts w:asciiTheme="majorHAnsi" w:hAnsiTheme="majorHAnsi"/>
          <w:i/>
          <w:sz w:val="24"/>
          <w:szCs w:val="24"/>
        </w:rPr>
        <w:t>What Do Our Children Know About Their Faith</w:t>
      </w:r>
      <w:r w:rsidR="002D4389">
        <w:rPr>
          <w:rFonts w:asciiTheme="majorHAnsi" w:hAnsiTheme="majorHAnsi"/>
          <w:sz w:val="24"/>
          <w:szCs w:val="24"/>
        </w:rPr>
        <w:t xml:space="preserve"> by Dr.  John Convey.</w:t>
      </w:r>
      <w:r w:rsidRPr="002D4389">
        <w:rPr>
          <w:rFonts w:asciiTheme="majorHAnsi" w:hAnsiTheme="majorHAnsi"/>
          <w:sz w:val="24"/>
          <w:szCs w:val="24"/>
        </w:rPr>
        <w:t xml:space="preserve"> </w:t>
      </w:r>
    </w:p>
    <w:p w:rsidR="002D4389" w:rsidRDefault="002D4389" w:rsidP="002D4389">
      <w:pPr>
        <w:pStyle w:val="ListParagraph"/>
        <w:numPr>
          <w:ilvl w:val="1"/>
          <w:numId w:val="17"/>
        </w:numPr>
        <w:spacing w:after="0"/>
        <w:rPr>
          <w:rFonts w:asciiTheme="majorHAnsi" w:hAnsiTheme="majorHAnsi"/>
          <w:sz w:val="24"/>
          <w:szCs w:val="24"/>
        </w:rPr>
      </w:pPr>
      <w:r>
        <w:rPr>
          <w:rFonts w:asciiTheme="majorHAnsi" w:hAnsiTheme="majorHAnsi"/>
          <w:sz w:val="24"/>
          <w:szCs w:val="24"/>
        </w:rPr>
        <w:lastRenderedPageBreak/>
        <w:t xml:space="preserve">Dr. Convey chronicled the </w:t>
      </w:r>
      <w:r w:rsidR="004521BC" w:rsidRPr="002D4389">
        <w:rPr>
          <w:rFonts w:asciiTheme="majorHAnsi" w:hAnsiTheme="majorHAnsi"/>
          <w:sz w:val="24"/>
          <w:szCs w:val="24"/>
        </w:rPr>
        <w:t>success of Catholic schools in teaching the Catholic faith drawn largely from testing data from the Assessment of Catechesis/Religious Education or ACRE</w:t>
      </w:r>
      <w:r w:rsidR="004521BC" w:rsidRPr="00FD6540">
        <w:rPr>
          <w:rStyle w:val="FootnoteReference"/>
          <w:rFonts w:asciiTheme="majorHAnsi" w:hAnsiTheme="majorHAnsi"/>
          <w:sz w:val="24"/>
          <w:szCs w:val="24"/>
        </w:rPr>
        <w:footnoteReference w:id="1"/>
      </w:r>
      <w:r w:rsidR="004521BC" w:rsidRPr="002D4389">
        <w:rPr>
          <w:rFonts w:asciiTheme="majorHAnsi" w:hAnsiTheme="majorHAnsi"/>
          <w:sz w:val="24"/>
          <w:szCs w:val="24"/>
        </w:rPr>
        <w:t xml:space="preserve">. </w:t>
      </w:r>
    </w:p>
    <w:p w:rsidR="002D4389" w:rsidRDefault="002D4389" w:rsidP="002D4389">
      <w:pPr>
        <w:pStyle w:val="ListParagraph"/>
        <w:numPr>
          <w:ilvl w:val="1"/>
          <w:numId w:val="17"/>
        </w:numPr>
        <w:spacing w:after="0"/>
        <w:rPr>
          <w:rFonts w:asciiTheme="majorHAnsi" w:hAnsiTheme="majorHAnsi"/>
          <w:sz w:val="24"/>
          <w:szCs w:val="24"/>
        </w:rPr>
      </w:pPr>
      <w:r>
        <w:rPr>
          <w:rFonts w:asciiTheme="majorHAnsi" w:hAnsiTheme="majorHAnsi"/>
          <w:sz w:val="24"/>
          <w:szCs w:val="24"/>
        </w:rPr>
        <w:t>The report indicated that s</w:t>
      </w:r>
      <w:r w:rsidR="004521BC" w:rsidRPr="002D4389">
        <w:rPr>
          <w:rFonts w:asciiTheme="majorHAnsi" w:hAnsiTheme="majorHAnsi"/>
          <w:sz w:val="24"/>
          <w:szCs w:val="24"/>
        </w:rPr>
        <w:t>tudents in Catholic schools, both Catholics and non-Catholics, score higher on faith knowledge than do</w:t>
      </w:r>
      <w:r>
        <w:rPr>
          <w:rFonts w:asciiTheme="majorHAnsi" w:hAnsiTheme="majorHAnsi"/>
          <w:sz w:val="24"/>
          <w:szCs w:val="24"/>
        </w:rPr>
        <w:t xml:space="preserve"> students from parish programs. </w:t>
      </w:r>
    </w:p>
    <w:p w:rsidR="004521BC" w:rsidRPr="002D4389" w:rsidRDefault="002D4389" w:rsidP="002D4389">
      <w:pPr>
        <w:pStyle w:val="ListParagraph"/>
        <w:numPr>
          <w:ilvl w:val="1"/>
          <w:numId w:val="17"/>
        </w:numPr>
        <w:spacing w:after="0"/>
        <w:rPr>
          <w:rFonts w:asciiTheme="majorHAnsi" w:hAnsiTheme="majorHAnsi"/>
          <w:sz w:val="24"/>
          <w:szCs w:val="24"/>
        </w:rPr>
      </w:pPr>
      <w:r>
        <w:rPr>
          <w:rFonts w:asciiTheme="majorHAnsi" w:hAnsiTheme="majorHAnsi"/>
          <w:sz w:val="24"/>
          <w:szCs w:val="24"/>
        </w:rPr>
        <w:t xml:space="preserve">Dr. Convey gave </w:t>
      </w:r>
      <w:r w:rsidR="004521BC" w:rsidRPr="002D4389">
        <w:rPr>
          <w:rFonts w:asciiTheme="majorHAnsi" w:hAnsiTheme="majorHAnsi"/>
          <w:sz w:val="24"/>
          <w:szCs w:val="24"/>
        </w:rPr>
        <w:t xml:space="preserve">various </w:t>
      </w:r>
      <w:r>
        <w:rPr>
          <w:rFonts w:asciiTheme="majorHAnsi" w:hAnsiTheme="majorHAnsi"/>
          <w:sz w:val="24"/>
          <w:szCs w:val="24"/>
        </w:rPr>
        <w:t xml:space="preserve">examples of ongoing success </w:t>
      </w:r>
      <w:r w:rsidR="004521BC" w:rsidRPr="002D4389">
        <w:rPr>
          <w:rFonts w:asciiTheme="majorHAnsi" w:hAnsiTheme="majorHAnsi"/>
          <w:sz w:val="24"/>
          <w:szCs w:val="24"/>
        </w:rPr>
        <w:t>in religious education and catechesis in schools, including examples from</w:t>
      </w:r>
      <w:r>
        <w:rPr>
          <w:rFonts w:asciiTheme="majorHAnsi" w:hAnsiTheme="majorHAnsi"/>
          <w:sz w:val="24"/>
          <w:szCs w:val="24"/>
        </w:rPr>
        <w:t xml:space="preserve"> different places: D</w:t>
      </w:r>
      <w:r w:rsidR="004521BC" w:rsidRPr="002D4389">
        <w:rPr>
          <w:rFonts w:asciiTheme="majorHAnsi" w:hAnsiTheme="majorHAnsi"/>
          <w:sz w:val="24"/>
          <w:szCs w:val="24"/>
        </w:rPr>
        <w:t>ioceses of</w:t>
      </w:r>
      <w:r>
        <w:rPr>
          <w:rFonts w:asciiTheme="majorHAnsi" w:hAnsiTheme="majorHAnsi"/>
          <w:sz w:val="24"/>
          <w:szCs w:val="24"/>
        </w:rPr>
        <w:t xml:space="preserve"> Arlington, St. Petersburg, Houma-Thibodaux, and the A</w:t>
      </w:r>
      <w:r w:rsidR="004521BC" w:rsidRPr="002D4389">
        <w:rPr>
          <w:rFonts w:asciiTheme="majorHAnsi" w:hAnsiTheme="majorHAnsi"/>
          <w:sz w:val="24"/>
          <w:szCs w:val="24"/>
        </w:rPr>
        <w:t>rchdioceses of Cincinnati and Atlanta.</w:t>
      </w:r>
      <w:r w:rsidR="004521BC" w:rsidRPr="00FD6540">
        <w:rPr>
          <w:rStyle w:val="FootnoteReference"/>
          <w:rFonts w:asciiTheme="majorHAnsi" w:hAnsiTheme="majorHAnsi"/>
          <w:sz w:val="24"/>
          <w:szCs w:val="24"/>
        </w:rPr>
        <w:footnoteReference w:id="2"/>
      </w:r>
    </w:p>
    <w:p w:rsidR="004521BC" w:rsidRDefault="004521BC" w:rsidP="002841E4">
      <w:pPr>
        <w:spacing w:after="0"/>
        <w:rPr>
          <w:rFonts w:asciiTheme="majorHAnsi" w:hAnsiTheme="majorHAnsi"/>
          <w:b/>
          <w:sz w:val="24"/>
          <w:szCs w:val="24"/>
        </w:rPr>
      </w:pPr>
    </w:p>
    <w:p w:rsidR="004521BC" w:rsidRDefault="004521BC" w:rsidP="002841E4">
      <w:pPr>
        <w:spacing w:after="0"/>
        <w:rPr>
          <w:rFonts w:asciiTheme="majorHAnsi" w:hAnsiTheme="majorHAnsi"/>
          <w:b/>
          <w:sz w:val="24"/>
          <w:szCs w:val="24"/>
        </w:rPr>
      </w:pPr>
    </w:p>
    <w:p w:rsidR="004521BC" w:rsidRDefault="00CD0184" w:rsidP="002841E4">
      <w:pPr>
        <w:spacing w:after="0"/>
        <w:rPr>
          <w:rFonts w:asciiTheme="majorHAnsi" w:hAnsiTheme="majorHAnsi"/>
          <w:b/>
          <w:sz w:val="24"/>
          <w:szCs w:val="24"/>
        </w:rPr>
      </w:pPr>
      <w:r>
        <w:rPr>
          <w:rFonts w:asciiTheme="majorHAnsi" w:hAnsiTheme="majorHAnsi"/>
          <w:b/>
          <w:sz w:val="24"/>
          <w:szCs w:val="24"/>
        </w:rPr>
        <w:t>Part III:  Academic and Civic Benefits</w:t>
      </w:r>
    </w:p>
    <w:p w:rsidR="006322AF" w:rsidRDefault="006322AF" w:rsidP="002841E4">
      <w:pPr>
        <w:spacing w:after="0"/>
        <w:rPr>
          <w:rFonts w:asciiTheme="majorHAnsi" w:hAnsiTheme="majorHAnsi"/>
          <w:b/>
          <w:sz w:val="24"/>
          <w:szCs w:val="24"/>
        </w:rPr>
      </w:pPr>
    </w:p>
    <w:p w:rsidR="00DB61B4" w:rsidRPr="00FD6540" w:rsidRDefault="00DB61B4" w:rsidP="002841E4">
      <w:pPr>
        <w:spacing w:after="0"/>
        <w:rPr>
          <w:rFonts w:asciiTheme="majorHAnsi" w:hAnsiTheme="majorHAnsi"/>
          <w:sz w:val="24"/>
          <w:szCs w:val="24"/>
        </w:rPr>
      </w:pPr>
      <w:r w:rsidRPr="00FD6540">
        <w:rPr>
          <w:rFonts w:asciiTheme="majorHAnsi" w:hAnsiTheme="majorHAnsi"/>
          <w:b/>
          <w:sz w:val="24"/>
          <w:szCs w:val="24"/>
        </w:rPr>
        <w:t>Catholic schools are good for the republic</w:t>
      </w:r>
      <w:r w:rsidRPr="00FD6540">
        <w:rPr>
          <w:rFonts w:asciiTheme="majorHAnsi" w:hAnsiTheme="majorHAnsi"/>
          <w:sz w:val="24"/>
          <w:szCs w:val="24"/>
        </w:rPr>
        <w:t>.</w:t>
      </w:r>
    </w:p>
    <w:p w:rsidR="00DB61B4" w:rsidRPr="00FD6540" w:rsidRDefault="00DB61B4" w:rsidP="002841E4">
      <w:pPr>
        <w:spacing w:after="0"/>
        <w:rPr>
          <w:rFonts w:asciiTheme="majorHAnsi" w:hAnsiTheme="majorHAnsi"/>
          <w:sz w:val="24"/>
          <w:szCs w:val="24"/>
        </w:rPr>
      </w:pPr>
    </w:p>
    <w:p w:rsidR="00DB61B4" w:rsidRPr="00136CBD" w:rsidRDefault="00DB61B4" w:rsidP="00136CBD">
      <w:pPr>
        <w:pStyle w:val="ListParagraph"/>
        <w:numPr>
          <w:ilvl w:val="0"/>
          <w:numId w:val="14"/>
        </w:numPr>
        <w:spacing w:after="0"/>
        <w:rPr>
          <w:rFonts w:asciiTheme="majorHAnsi" w:hAnsiTheme="majorHAnsi"/>
          <w:sz w:val="24"/>
          <w:szCs w:val="24"/>
        </w:rPr>
      </w:pPr>
      <w:r w:rsidRPr="00136CBD">
        <w:rPr>
          <w:rFonts w:asciiTheme="majorHAnsi" w:hAnsiTheme="majorHAnsi"/>
          <w:sz w:val="24"/>
          <w:szCs w:val="24"/>
        </w:rPr>
        <w:t xml:space="preserve">Catholic schools tend to operate as communities rather than bureaucracies, which links to higher levels of teacher commitment, student engagement, and student achievement. </w:t>
      </w:r>
      <w:r w:rsidR="00521FA2" w:rsidRPr="00FD6540">
        <w:rPr>
          <w:rStyle w:val="FootnoteReference"/>
          <w:rFonts w:asciiTheme="majorHAnsi" w:hAnsiTheme="majorHAnsi"/>
          <w:sz w:val="24"/>
          <w:szCs w:val="24"/>
        </w:rPr>
        <w:footnoteReference w:id="3"/>
      </w:r>
    </w:p>
    <w:p w:rsidR="00DB61B4" w:rsidRPr="00FD6540" w:rsidRDefault="00DB61B4" w:rsidP="002841E4">
      <w:pPr>
        <w:spacing w:after="0"/>
        <w:rPr>
          <w:rFonts w:asciiTheme="majorHAnsi" w:hAnsiTheme="majorHAnsi"/>
          <w:sz w:val="24"/>
          <w:szCs w:val="24"/>
        </w:rPr>
      </w:pPr>
    </w:p>
    <w:p w:rsidR="00DB61B4" w:rsidRPr="00136CBD" w:rsidRDefault="00DB61B4" w:rsidP="00136CBD">
      <w:pPr>
        <w:pStyle w:val="ListParagraph"/>
        <w:numPr>
          <w:ilvl w:val="0"/>
          <w:numId w:val="14"/>
        </w:numPr>
        <w:spacing w:after="0"/>
        <w:rPr>
          <w:rFonts w:asciiTheme="majorHAnsi" w:hAnsiTheme="majorHAnsi"/>
          <w:sz w:val="24"/>
          <w:szCs w:val="24"/>
        </w:rPr>
      </w:pPr>
      <w:r w:rsidRPr="00136CBD">
        <w:rPr>
          <w:rFonts w:asciiTheme="majorHAnsi" w:hAnsiTheme="majorHAnsi"/>
          <w:sz w:val="24"/>
          <w:szCs w:val="24"/>
        </w:rPr>
        <w:t xml:space="preserve">The Catholic school climate, mission, and purpose positively impact student achievement and attendance. </w:t>
      </w:r>
      <w:r w:rsidR="00521FA2" w:rsidRPr="00FD6540">
        <w:rPr>
          <w:rStyle w:val="FootnoteReference"/>
          <w:rFonts w:asciiTheme="majorHAnsi" w:hAnsiTheme="majorHAnsi"/>
          <w:sz w:val="24"/>
          <w:szCs w:val="24"/>
        </w:rPr>
        <w:footnoteReference w:id="4"/>
      </w:r>
    </w:p>
    <w:p w:rsidR="00DB61B4" w:rsidRPr="00FD6540" w:rsidRDefault="00DB61B4" w:rsidP="002841E4">
      <w:pPr>
        <w:spacing w:after="0"/>
        <w:rPr>
          <w:rFonts w:asciiTheme="majorHAnsi" w:hAnsiTheme="majorHAnsi"/>
          <w:sz w:val="24"/>
          <w:szCs w:val="24"/>
        </w:rPr>
      </w:pPr>
    </w:p>
    <w:p w:rsidR="00D751CC" w:rsidRPr="00136CBD" w:rsidRDefault="00DB61B4" w:rsidP="00136CBD">
      <w:pPr>
        <w:pStyle w:val="ListParagraph"/>
        <w:numPr>
          <w:ilvl w:val="0"/>
          <w:numId w:val="14"/>
        </w:numPr>
        <w:spacing w:after="0"/>
        <w:rPr>
          <w:rFonts w:asciiTheme="majorHAnsi" w:hAnsiTheme="majorHAnsi"/>
          <w:sz w:val="24"/>
          <w:szCs w:val="24"/>
        </w:rPr>
      </w:pPr>
      <w:r w:rsidRPr="00136CBD">
        <w:rPr>
          <w:rFonts w:asciiTheme="majorHAnsi" w:hAnsiTheme="majorHAnsi"/>
          <w:sz w:val="24"/>
          <w:szCs w:val="24"/>
        </w:rPr>
        <w:t>A faith-based orientation builds coherence and integration of schools and school community.</w:t>
      </w:r>
      <w:r w:rsidR="00521FA2" w:rsidRPr="00FD6540">
        <w:rPr>
          <w:rStyle w:val="FootnoteReference"/>
          <w:rFonts w:asciiTheme="majorHAnsi" w:hAnsiTheme="majorHAnsi"/>
          <w:sz w:val="24"/>
          <w:szCs w:val="24"/>
        </w:rPr>
        <w:footnoteReference w:id="5"/>
      </w:r>
    </w:p>
    <w:p w:rsidR="002841E4" w:rsidRPr="002841E4" w:rsidRDefault="002841E4" w:rsidP="002841E4">
      <w:pPr>
        <w:spacing w:after="0"/>
        <w:rPr>
          <w:rFonts w:asciiTheme="majorHAnsi" w:hAnsiTheme="majorHAnsi"/>
          <w:sz w:val="24"/>
          <w:szCs w:val="24"/>
        </w:rPr>
      </w:pPr>
    </w:p>
    <w:p w:rsidR="00FF08A3" w:rsidRPr="00FD6540" w:rsidRDefault="00FF08A3" w:rsidP="002841E4">
      <w:pPr>
        <w:spacing w:after="0"/>
        <w:rPr>
          <w:rFonts w:asciiTheme="majorHAnsi" w:hAnsiTheme="majorHAnsi"/>
          <w:b/>
          <w:sz w:val="24"/>
          <w:szCs w:val="24"/>
        </w:rPr>
      </w:pPr>
      <w:r w:rsidRPr="00FD6540">
        <w:rPr>
          <w:rFonts w:asciiTheme="majorHAnsi" w:hAnsiTheme="majorHAnsi"/>
          <w:b/>
          <w:sz w:val="24"/>
          <w:szCs w:val="24"/>
        </w:rPr>
        <w:t>Catholic Schools hel</w:t>
      </w:r>
      <w:r w:rsidR="00FC1589" w:rsidRPr="00FD6540">
        <w:rPr>
          <w:rFonts w:asciiTheme="majorHAnsi" w:hAnsiTheme="majorHAnsi"/>
          <w:b/>
          <w:sz w:val="24"/>
          <w:szCs w:val="24"/>
        </w:rPr>
        <w:t>p students achieve academically</w:t>
      </w:r>
    </w:p>
    <w:p w:rsidR="00FC1589" w:rsidRPr="00FD6540" w:rsidRDefault="00FC1589" w:rsidP="002841E4">
      <w:pPr>
        <w:spacing w:after="0"/>
        <w:rPr>
          <w:rFonts w:asciiTheme="majorHAnsi" w:hAnsiTheme="majorHAnsi"/>
          <w:b/>
          <w:sz w:val="24"/>
          <w:szCs w:val="24"/>
        </w:rPr>
      </w:pPr>
    </w:p>
    <w:p w:rsidR="00FF08A3" w:rsidRPr="00136CBD" w:rsidRDefault="00FF08A3" w:rsidP="00136CBD">
      <w:pPr>
        <w:pStyle w:val="ListParagraph"/>
        <w:numPr>
          <w:ilvl w:val="0"/>
          <w:numId w:val="15"/>
        </w:numPr>
        <w:spacing w:after="0"/>
        <w:rPr>
          <w:rFonts w:asciiTheme="majorHAnsi" w:hAnsiTheme="majorHAnsi"/>
          <w:sz w:val="24"/>
          <w:szCs w:val="24"/>
        </w:rPr>
      </w:pPr>
      <w:r w:rsidRPr="00136CBD">
        <w:rPr>
          <w:rFonts w:asciiTheme="majorHAnsi" w:hAnsiTheme="majorHAnsi"/>
          <w:sz w:val="24"/>
          <w:szCs w:val="24"/>
        </w:rPr>
        <w:t xml:space="preserve">In Catholic schools, the student achievement gap is </w:t>
      </w:r>
      <w:r w:rsidR="004D38A0" w:rsidRPr="00136CBD">
        <w:rPr>
          <w:rFonts w:asciiTheme="majorHAnsi" w:hAnsiTheme="majorHAnsi"/>
          <w:sz w:val="24"/>
          <w:szCs w:val="24"/>
        </w:rPr>
        <w:t>smaller than in public schools.</w:t>
      </w:r>
      <w:r w:rsidR="004D38A0" w:rsidRPr="00FD6540">
        <w:rPr>
          <w:rStyle w:val="FootnoteReference"/>
          <w:rFonts w:asciiTheme="majorHAnsi" w:hAnsiTheme="majorHAnsi"/>
          <w:sz w:val="24"/>
          <w:szCs w:val="24"/>
        </w:rPr>
        <w:footnoteReference w:id="6"/>
      </w:r>
    </w:p>
    <w:p w:rsidR="00FF08A3" w:rsidRPr="00FD6540" w:rsidRDefault="00FF08A3" w:rsidP="002841E4">
      <w:pPr>
        <w:pStyle w:val="ListParagraph"/>
        <w:spacing w:after="0"/>
        <w:rPr>
          <w:rFonts w:asciiTheme="majorHAnsi" w:hAnsiTheme="majorHAnsi"/>
          <w:sz w:val="24"/>
          <w:szCs w:val="24"/>
        </w:rPr>
      </w:pPr>
    </w:p>
    <w:p w:rsidR="00FF08A3" w:rsidRPr="00136CBD" w:rsidRDefault="00FF08A3" w:rsidP="00136CBD">
      <w:pPr>
        <w:pStyle w:val="ListParagraph"/>
        <w:numPr>
          <w:ilvl w:val="0"/>
          <w:numId w:val="15"/>
        </w:numPr>
        <w:spacing w:after="0"/>
        <w:rPr>
          <w:rFonts w:asciiTheme="majorHAnsi" w:hAnsiTheme="majorHAnsi"/>
          <w:sz w:val="24"/>
          <w:szCs w:val="24"/>
        </w:rPr>
      </w:pPr>
      <w:r w:rsidRPr="00136CBD">
        <w:rPr>
          <w:rFonts w:asciiTheme="majorHAnsi" w:hAnsiTheme="majorHAnsi"/>
          <w:sz w:val="24"/>
          <w:szCs w:val="24"/>
        </w:rPr>
        <w:t xml:space="preserve">In Catholic schools, overall academic achievement is higher. </w:t>
      </w:r>
      <w:r w:rsidR="00431F96" w:rsidRPr="00FD6540">
        <w:rPr>
          <w:rStyle w:val="FootnoteReference"/>
          <w:rFonts w:asciiTheme="majorHAnsi" w:hAnsiTheme="majorHAnsi"/>
          <w:sz w:val="24"/>
          <w:szCs w:val="24"/>
        </w:rPr>
        <w:footnoteReference w:id="7"/>
      </w:r>
    </w:p>
    <w:p w:rsidR="00FF08A3" w:rsidRPr="00FD6540" w:rsidRDefault="00FF08A3" w:rsidP="002841E4">
      <w:pPr>
        <w:pStyle w:val="ListParagraph"/>
        <w:spacing w:after="0"/>
        <w:rPr>
          <w:rFonts w:asciiTheme="majorHAnsi" w:hAnsiTheme="majorHAnsi"/>
          <w:sz w:val="24"/>
          <w:szCs w:val="24"/>
        </w:rPr>
      </w:pPr>
    </w:p>
    <w:p w:rsidR="00D751CC" w:rsidRPr="00136CBD" w:rsidRDefault="00FF08A3" w:rsidP="00136CBD">
      <w:pPr>
        <w:pStyle w:val="ListParagraph"/>
        <w:numPr>
          <w:ilvl w:val="0"/>
          <w:numId w:val="15"/>
        </w:numPr>
        <w:spacing w:after="0"/>
        <w:rPr>
          <w:rFonts w:asciiTheme="majorHAnsi" w:hAnsiTheme="majorHAnsi"/>
          <w:sz w:val="24"/>
          <w:szCs w:val="24"/>
        </w:rPr>
      </w:pPr>
      <w:r w:rsidRPr="00136CBD">
        <w:rPr>
          <w:rFonts w:asciiTheme="majorHAnsi" w:hAnsiTheme="majorHAnsi"/>
          <w:sz w:val="24"/>
          <w:szCs w:val="24"/>
        </w:rPr>
        <w:t>In Catholic schools, student math scores improve between sophomore and senior years.</w:t>
      </w:r>
      <w:r w:rsidR="00431F96" w:rsidRPr="00FD6540">
        <w:rPr>
          <w:rStyle w:val="FootnoteReference"/>
          <w:rFonts w:asciiTheme="majorHAnsi" w:hAnsiTheme="majorHAnsi"/>
          <w:sz w:val="24"/>
          <w:szCs w:val="24"/>
        </w:rPr>
        <w:footnoteReference w:id="8"/>
      </w:r>
    </w:p>
    <w:p w:rsidR="00B93192" w:rsidRPr="00FD6540" w:rsidRDefault="00B93192" w:rsidP="002841E4">
      <w:pPr>
        <w:pStyle w:val="ListParagraph"/>
        <w:spacing w:after="0"/>
        <w:rPr>
          <w:rFonts w:asciiTheme="majorHAnsi" w:hAnsiTheme="majorHAnsi"/>
          <w:sz w:val="24"/>
          <w:szCs w:val="24"/>
        </w:rPr>
      </w:pPr>
    </w:p>
    <w:p w:rsidR="00B93192" w:rsidRPr="00136CBD" w:rsidRDefault="00B93192" w:rsidP="00136CBD">
      <w:pPr>
        <w:pStyle w:val="ListParagraph"/>
        <w:numPr>
          <w:ilvl w:val="0"/>
          <w:numId w:val="15"/>
        </w:numPr>
        <w:spacing w:after="0"/>
        <w:rPr>
          <w:rFonts w:asciiTheme="majorHAnsi" w:hAnsiTheme="majorHAnsi"/>
          <w:sz w:val="24"/>
          <w:szCs w:val="24"/>
        </w:rPr>
      </w:pPr>
      <w:r w:rsidRPr="00136CBD">
        <w:rPr>
          <w:rFonts w:asciiTheme="majorHAnsi" w:hAnsiTheme="majorHAnsi"/>
          <w:sz w:val="24"/>
          <w:szCs w:val="24"/>
        </w:rPr>
        <w:lastRenderedPageBreak/>
        <w:t xml:space="preserve">Latino and African American students in Catholic schools are more likely to graduate from high school and college. </w:t>
      </w:r>
      <w:r w:rsidR="005D2590" w:rsidRPr="00FD6540">
        <w:rPr>
          <w:rStyle w:val="FootnoteReference"/>
          <w:rFonts w:asciiTheme="majorHAnsi" w:hAnsiTheme="majorHAnsi"/>
          <w:sz w:val="24"/>
          <w:szCs w:val="24"/>
        </w:rPr>
        <w:footnoteReference w:id="9"/>
      </w:r>
    </w:p>
    <w:p w:rsidR="00B93192" w:rsidRPr="00FD6540" w:rsidRDefault="00B93192" w:rsidP="002841E4">
      <w:pPr>
        <w:pStyle w:val="ListParagraph"/>
        <w:spacing w:after="0"/>
        <w:rPr>
          <w:rFonts w:asciiTheme="majorHAnsi" w:hAnsiTheme="majorHAnsi"/>
          <w:sz w:val="24"/>
          <w:szCs w:val="24"/>
        </w:rPr>
      </w:pPr>
    </w:p>
    <w:p w:rsidR="00B93192" w:rsidRPr="00136CBD" w:rsidRDefault="00B93192" w:rsidP="00136CBD">
      <w:pPr>
        <w:pStyle w:val="ListParagraph"/>
        <w:numPr>
          <w:ilvl w:val="0"/>
          <w:numId w:val="15"/>
        </w:numPr>
        <w:spacing w:after="0"/>
        <w:rPr>
          <w:rFonts w:asciiTheme="majorHAnsi" w:hAnsiTheme="majorHAnsi"/>
          <w:sz w:val="24"/>
          <w:szCs w:val="24"/>
        </w:rPr>
      </w:pPr>
      <w:r w:rsidRPr="00136CBD">
        <w:rPr>
          <w:rFonts w:asciiTheme="majorHAnsi" w:hAnsiTheme="majorHAnsi"/>
          <w:sz w:val="24"/>
          <w:szCs w:val="24"/>
        </w:rPr>
        <w:t>Students with multiple disadvantages benefit most from Catholic schools.</w:t>
      </w:r>
      <w:r w:rsidR="005D2590" w:rsidRPr="00FD6540">
        <w:rPr>
          <w:rStyle w:val="FootnoteReference"/>
          <w:rFonts w:asciiTheme="majorHAnsi" w:hAnsiTheme="majorHAnsi"/>
          <w:sz w:val="24"/>
          <w:szCs w:val="24"/>
        </w:rPr>
        <w:footnoteReference w:id="10"/>
      </w:r>
      <w:r w:rsidRPr="00136CBD">
        <w:rPr>
          <w:rFonts w:asciiTheme="majorHAnsi" w:hAnsiTheme="majorHAnsi"/>
          <w:sz w:val="24"/>
          <w:szCs w:val="24"/>
        </w:rPr>
        <w:t xml:space="preserve"> </w:t>
      </w:r>
    </w:p>
    <w:p w:rsidR="00B93192" w:rsidRPr="00FD6540" w:rsidRDefault="00B93192" w:rsidP="002841E4">
      <w:pPr>
        <w:pStyle w:val="ListParagraph"/>
        <w:spacing w:after="0"/>
        <w:rPr>
          <w:rFonts w:asciiTheme="majorHAnsi" w:hAnsiTheme="majorHAnsi"/>
          <w:sz w:val="24"/>
          <w:szCs w:val="24"/>
        </w:rPr>
      </w:pPr>
    </w:p>
    <w:p w:rsidR="00B93192" w:rsidRPr="00136CBD" w:rsidRDefault="00B93192" w:rsidP="00136CBD">
      <w:pPr>
        <w:pStyle w:val="ListParagraph"/>
        <w:numPr>
          <w:ilvl w:val="0"/>
          <w:numId w:val="15"/>
        </w:numPr>
        <w:spacing w:after="0"/>
        <w:rPr>
          <w:rFonts w:asciiTheme="majorHAnsi" w:hAnsiTheme="majorHAnsi"/>
          <w:sz w:val="24"/>
          <w:szCs w:val="24"/>
        </w:rPr>
      </w:pPr>
      <w:r w:rsidRPr="00136CBD">
        <w:rPr>
          <w:rFonts w:asciiTheme="majorHAnsi" w:hAnsiTheme="majorHAnsi"/>
          <w:sz w:val="24"/>
          <w:szCs w:val="24"/>
        </w:rPr>
        <w:t>The poorer and more at-risk a student is, the greater the relative achievement gains in Catholic schools.</w:t>
      </w:r>
      <w:r w:rsidR="005D2590" w:rsidRPr="00FD6540">
        <w:rPr>
          <w:rStyle w:val="FootnoteReference"/>
          <w:rFonts w:asciiTheme="majorHAnsi" w:hAnsiTheme="majorHAnsi"/>
          <w:sz w:val="24"/>
          <w:szCs w:val="24"/>
        </w:rPr>
        <w:footnoteReference w:id="11"/>
      </w:r>
      <w:r w:rsidRPr="00136CBD">
        <w:rPr>
          <w:rFonts w:asciiTheme="majorHAnsi" w:hAnsiTheme="majorHAnsi"/>
          <w:sz w:val="24"/>
          <w:szCs w:val="24"/>
        </w:rPr>
        <w:t xml:space="preserve"> </w:t>
      </w:r>
    </w:p>
    <w:p w:rsidR="00982459" w:rsidRDefault="00982459" w:rsidP="002841E4">
      <w:pPr>
        <w:spacing w:after="0" w:line="240" w:lineRule="auto"/>
        <w:rPr>
          <w:rFonts w:asciiTheme="majorHAnsi" w:hAnsiTheme="majorHAnsi"/>
          <w:sz w:val="24"/>
          <w:szCs w:val="24"/>
        </w:rPr>
      </w:pPr>
    </w:p>
    <w:p w:rsidR="00E52231" w:rsidRPr="00FD6540" w:rsidRDefault="00E52231" w:rsidP="002841E4">
      <w:pPr>
        <w:spacing w:after="0" w:line="240" w:lineRule="auto"/>
        <w:rPr>
          <w:rFonts w:asciiTheme="majorHAnsi" w:eastAsia="Times New Roman" w:hAnsiTheme="majorHAnsi" w:cs="Times New Roman"/>
          <w:b/>
          <w:sz w:val="24"/>
          <w:szCs w:val="24"/>
          <w:lang w:bidi="en-US"/>
        </w:rPr>
      </w:pPr>
      <w:r w:rsidRPr="00FD6540">
        <w:rPr>
          <w:rFonts w:asciiTheme="majorHAnsi" w:eastAsia="Times New Roman" w:hAnsiTheme="majorHAnsi" w:cs="Times New Roman"/>
          <w:b/>
          <w:sz w:val="24"/>
          <w:szCs w:val="24"/>
          <w:lang w:bidi="en-US"/>
        </w:rPr>
        <w:t>Catholic schools unlock the intellectual potential of the young people they serve while forming them for a personal and living encounter with Jesus Christ:</w:t>
      </w:r>
    </w:p>
    <w:p w:rsidR="00E52231" w:rsidRPr="00FD6540" w:rsidRDefault="00E52231" w:rsidP="002841E4">
      <w:pPr>
        <w:spacing w:after="0" w:line="240" w:lineRule="auto"/>
        <w:ind w:left="720"/>
        <w:contextualSpacing/>
        <w:rPr>
          <w:rFonts w:asciiTheme="majorHAnsi" w:eastAsia="MS Mincho" w:hAnsiTheme="majorHAnsi" w:cs="Times New Roman"/>
          <w:b/>
          <w:sz w:val="24"/>
          <w:szCs w:val="24"/>
        </w:rPr>
      </w:pPr>
    </w:p>
    <w:p w:rsidR="00E52231" w:rsidRPr="00FD6540" w:rsidRDefault="00E52231" w:rsidP="002841E4">
      <w:pPr>
        <w:widowControl w:val="0"/>
        <w:numPr>
          <w:ilvl w:val="0"/>
          <w:numId w:val="5"/>
        </w:numPr>
        <w:autoSpaceDE w:val="0"/>
        <w:autoSpaceDN w:val="0"/>
        <w:adjustRightInd w:val="0"/>
        <w:spacing w:after="0" w:line="240" w:lineRule="auto"/>
        <w:ind w:left="630"/>
        <w:contextualSpacing/>
        <w:rPr>
          <w:rFonts w:asciiTheme="majorHAnsi" w:eastAsia="MS Mincho" w:hAnsiTheme="majorHAnsi" w:cs="Times New Roman"/>
          <w:sz w:val="24"/>
          <w:szCs w:val="24"/>
        </w:rPr>
      </w:pPr>
      <w:r w:rsidRPr="00FD6540">
        <w:rPr>
          <w:rFonts w:asciiTheme="majorHAnsi" w:eastAsia="MS Mincho" w:hAnsiTheme="majorHAnsi" w:cs="Times New Roman"/>
          <w:sz w:val="24"/>
          <w:szCs w:val="24"/>
        </w:rPr>
        <w:t>Catholic school students are more likely pray daily, attend church more often, retain a Catholic identify as an adult, and donate more to the Church. (</w:t>
      </w:r>
      <w:hyperlink r:id="rId8" w:history="1">
        <w:r w:rsidRPr="00FD6540">
          <w:rPr>
            <w:rFonts w:asciiTheme="majorHAnsi" w:eastAsia="MS Mincho" w:hAnsiTheme="majorHAnsi" w:cs="Times New Roman"/>
            <w:color w:val="0000FF"/>
            <w:sz w:val="24"/>
            <w:szCs w:val="24"/>
            <w:u w:val="single"/>
          </w:rPr>
          <w:t>Sander, 2001, p. 9</w:t>
        </w:r>
      </w:hyperlink>
      <w:r w:rsidRPr="00FD6540">
        <w:rPr>
          <w:rFonts w:asciiTheme="majorHAnsi" w:eastAsia="MS Mincho" w:hAnsiTheme="majorHAnsi" w:cs="Times New Roman"/>
          <w:sz w:val="24"/>
          <w:szCs w:val="24"/>
        </w:rPr>
        <w:t>)</w:t>
      </w:r>
    </w:p>
    <w:p w:rsidR="00E52231" w:rsidRPr="00FD6540" w:rsidRDefault="00E52231" w:rsidP="002841E4">
      <w:pPr>
        <w:spacing w:after="0" w:line="240" w:lineRule="auto"/>
        <w:ind w:left="630"/>
        <w:contextualSpacing/>
        <w:rPr>
          <w:rFonts w:asciiTheme="majorHAnsi" w:eastAsia="MS Mincho" w:hAnsiTheme="majorHAnsi" w:cs="Times New Roman"/>
          <w:b/>
          <w:sz w:val="24"/>
          <w:szCs w:val="24"/>
        </w:rPr>
      </w:pPr>
    </w:p>
    <w:p w:rsidR="00E52231" w:rsidRPr="00FD6540" w:rsidRDefault="00E52231" w:rsidP="002841E4">
      <w:pPr>
        <w:numPr>
          <w:ilvl w:val="0"/>
          <w:numId w:val="5"/>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 xml:space="preserve">Students in Catholic schools demonstrate higher academic achievement than their public school peers from similar socioeconomic backgrounds. (Coleman &amp; Hoffer, 1987; Greeley, 1982; </w:t>
      </w:r>
      <w:hyperlink r:id="rId9" w:history="1">
        <w:r w:rsidRPr="00FD6540">
          <w:rPr>
            <w:rFonts w:asciiTheme="majorHAnsi" w:eastAsia="MS Mincho" w:hAnsiTheme="majorHAnsi" w:cs="Times New Roman"/>
            <w:color w:val="0000FF"/>
            <w:sz w:val="24"/>
            <w:szCs w:val="24"/>
            <w:u w:val="single"/>
          </w:rPr>
          <w:t>Sander, 1996, p. 544</w:t>
        </w:r>
      </w:hyperlink>
      <w:r w:rsidRPr="00FD6540">
        <w:rPr>
          <w:rFonts w:asciiTheme="majorHAnsi" w:eastAsia="MS Mincho" w:hAnsiTheme="majorHAnsi" w:cs="Times New Roman"/>
          <w:sz w:val="24"/>
          <w:szCs w:val="24"/>
        </w:rPr>
        <w:t>)</w:t>
      </w:r>
    </w:p>
    <w:p w:rsidR="00E52231" w:rsidRPr="00FD6540" w:rsidRDefault="00E52231" w:rsidP="002841E4">
      <w:pPr>
        <w:spacing w:after="0" w:line="240" w:lineRule="auto"/>
        <w:ind w:left="630"/>
        <w:contextualSpacing/>
        <w:rPr>
          <w:rFonts w:asciiTheme="majorHAnsi" w:eastAsia="MS Mincho" w:hAnsiTheme="majorHAnsi" w:cs="Times New Roman"/>
          <w:b/>
          <w:sz w:val="24"/>
          <w:szCs w:val="24"/>
        </w:rPr>
      </w:pPr>
    </w:p>
    <w:p w:rsidR="00E52231" w:rsidRPr="00FD6540" w:rsidRDefault="00E52231" w:rsidP="002841E4">
      <w:pPr>
        <w:numPr>
          <w:ilvl w:val="0"/>
          <w:numId w:val="5"/>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The more disadvantaged a child is, the greater the relative achievement gains he or she experiences in a Catholic school. (York, 1996)</w:t>
      </w:r>
    </w:p>
    <w:p w:rsidR="00E52231" w:rsidRPr="00FD6540" w:rsidRDefault="00E52231" w:rsidP="002841E4">
      <w:pPr>
        <w:spacing w:after="0" w:line="240" w:lineRule="auto"/>
        <w:rPr>
          <w:rFonts w:asciiTheme="majorHAnsi" w:eastAsia="Times New Roman" w:hAnsiTheme="majorHAnsi" w:cs="Times New Roman"/>
          <w:b/>
          <w:sz w:val="24"/>
          <w:szCs w:val="24"/>
          <w:lang w:bidi="en-US"/>
        </w:rPr>
      </w:pPr>
    </w:p>
    <w:p w:rsidR="00E52231" w:rsidRPr="00FD6540" w:rsidRDefault="00E52231" w:rsidP="002841E4">
      <w:pPr>
        <w:numPr>
          <w:ilvl w:val="0"/>
          <w:numId w:val="5"/>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The achievement gap between students of different racial and/or socioeconomic backgrounds is significantly smaller in Catholic schools. (</w:t>
      </w:r>
      <w:proofErr w:type="spellStart"/>
      <w:r w:rsidR="004B0669">
        <w:fldChar w:fldCharType="begin"/>
      </w:r>
      <w:r w:rsidR="004B0669">
        <w:instrText xml:space="preserve"> HYPERLINK "http://www.religjournal.com/pdf/ijrr03003.pdf" </w:instrText>
      </w:r>
      <w:r w:rsidR="004B0669">
        <w:fldChar w:fldCharType="separate"/>
      </w:r>
      <w:r w:rsidRPr="00FD6540">
        <w:rPr>
          <w:rFonts w:asciiTheme="majorHAnsi" w:eastAsia="MS Mincho" w:hAnsiTheme="majorHAnsi" w:cs="Times New Roman"/>
          <w:color w:val="0000FF"/>
          <w:sz w:val="24"/>
          <w:szCs w:val="24"/>
          <w:u w:val="single"/>
        </w:rPr>
        <w:t>Jeynes</w:t>
      </w:r>
      <w:proofErr w:type="spellEnd"/>
      <w:r w:rsidRPr="00FD6540">
        <w:rPr>
          <w:rFonts w:asciiTheme="majorHAnsi" w:eastAsia="MS Mincho" w:hAnsiTheme="majorHAnsi" w:cs="Times New Roman"/>
          <w:color w:val="0000FF"/>
          <w:sz w:val="24"/>
          <w:szCs w:val="24"/>
          <w:u w:val="single"/>
        </w:rPr>
        <w:t>, 2007, p. 2</w:t>
      </w:r>
      <w:r w:rsidR="004B0669">
        <w:rPr>
          <w:rFonts w:asciiTheme="majorHAnsi" w:eastAsia="MS Mincho" w:hAnsiTheme="majorHAnsi" w:cs="Times New Roman"/>
          <w:color w:val="0000FF"/>
          <w:sz w:val="24"/>
          <w:szCs w:val="24"/>
          <w:u w:val="single"/>
        </w:rPr>
        <w:fldChar w:fldCharType="end"/>
      </w:r>
      <w:r w:rsidRPr="00FD6540">
        <w:rPr>
          <w:rFonts w:asciiTheme="majorHAnsi" w:eastAsia="MS Mincho" w:hAnsiTheme="majorHAnsi" w:cs="Times New Roman"/>
          <w:sz w:val="24"/>
          <w:szCs w:val="24"/>
        </w:rPr>
        <w:t>)</w:t>
      </w:r>
    </w:p>
    <w:p w:rsidR="00E52231" w:rsidRPr="00FD6540" w:rsidRDefault="00E52231" w:rsidP="002841E4">
      <w:pPr>
        <w:spacing w:after="0" w:line="240" w:lineRule="auto"/>
        <w:ind w:left="630"/>
        <w:contextualSpacing/>
        <w:rPr>
          <w:rFonts w:asciiTheme="majorHAnsi" w:eastAsia="MS Mincho" w:hAnsiTheme="majorHAnsi" w:cs="Times New Roman"/>
          <w:b/>
          <w:sz w:val="24"/>
          <w:szCs w:val="24"/>
        </w:rPr>
      </w:pPr>
    </w:p>
    <w:p w:rsidR="00E52231" w:rsidRPr="00FD6540" w:rsidRDefault="00E52231" w:rsidP="002841E4">
      <w:pPr>
        <w:numPr>
          <w:ilvl w:val="0"/>
          <w:numId w:val="5"/>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99% of Catholic school students graduate from high school on time, and 85% of Catholic school graduates attend co</w:t>
      </w:r>
      <w:r w:rsidR="0078717E">
        <w:rPr>
          <w:rFonts w:asciiTheme="majorHAnsi" w:eastAsia="MS Mincho" w:hAnsiTheme="majorHAnsi" w:cs="Times New Roman"/>
          <w:sz w:val="24"/>
          <w:szCs w:val="24"/>
        </w:rPr>
        <w:t>llege. (McDonald &amp; Schultz, 2014</w:t>
      </w:r>
      <w:r w:rsidRPr="00FD6540">
        <w:rPr>
          <w:rFonts w:asciiTheme="majorHAnsi" w:eastAsia="MS Mincho" w:hAnsiTheme="majorHAnsi" w:cs="Times New Roman"/>
          <w:sz w:val="24"/>
          <w:szCs w:val="24"/>
        </w:rPr>
        <w:t>)</w:t>
      </w:r>
    </w:p>
    <w:p w:rsidR="00E52231" w:rsidRPr="00FD6540" w:rsidRDefault="00E52231" w:rsidP="002841E4">
      <w:pPr>
        <w:spacing w:after="0" w:line="240" w:lineRule="auto"/>
        <w:rPr>
          <w:rFonts w:asciiTheme="majorHAnsi" w:eastAsia="Times New Roman" w:hAnsiTheme="majorHAnsi" w:cs="Times New Roman"/>
          <w:b/>
          <w:sz w:val="24"/>
          <w:szCs w:val="24"/>
          <w:lang w:bidi="en-US"/>
        </w:rPr>
      </w:pPr>
    </w:p>
    <w:p w:rsidR="00E52231" w:rsidRPr="00FD6540" w:rsidRDefault="00E52231" w:rsidP="002841E4">
      <w:pPr>
        <w:numPr>
          <w:ilvl w:val="0"/>
          <w:numId w:val="5"/>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A black or Latino child is 42% more likely to graduate from high school and 2.5 times more likely to graduate from college if he or she attends a Catholic school. (</w:t>
      </w:r>
      <w:hyperlink r:id="rId10" w:history="1">
        <w:r w:rsidRPr="00FD6540">
          <w:rPr>
            <w:rFonts w:asciiTheme="majorHAnsi" w:eastAsia="MS Mincho" w:hAnsiTheme="majorHAnsi" w:cs="Times New Roman"/>
            <w:color w:val="0000FF"/>
            <w:sz w:val="24"/>
            <w:szCs w:val="24"/>
            <w:u w:val="single"/>
          </w:rPr>
          <w:t>Neal, 1997, p. 108</w:t>
        </w:r>
      </w:hyperlink>
      <w:r w:rsidRPr="00FD6540">
        <w:rPr>
          <w:rFonts w:asciiTheme="majorHAnsi" w:eastAsia="MS Mincho" w:hAnsiTheme="majorHAnsi" w:cs="Times New Roman"/>
          <w:sz w:val="24"/>
          <w:szCs w:val="24"/>
        </w:rPr>
        <w:t>)</w:t>
      </w:r>
    </w:p>
    <w:p w:rsidR="00982459" w:rsidRDefault="00982459" w:rsidP="002841E4">
      <w:pPr>
        <w:spacing w:after="0" w:line="240" w:lineRule="auto"/>
        <w:rPr>
          <w:rFonts w:asciiTheme="majorHAnsi" w:eastAsia="Times New Roman" w:hAnsiTheme="majorHAnsi" w:cs="Times New Roman"/>
          <w:b/>
          <w:sz w:val="24"/>
          <w:szCs w:val="24"/>
          <w:lang w:bidi="en-US"/>
        </w:rPr>
      </w:pPr>
    </w:p>
    <w:p w:rsidR="00E52231" w:rsidRPr="00FD6540" w:rsidRDefault="00E52231" w:rsidP="002841E4">
      <w:pPr>
        <w:spacing w:after="0" w:line="240" w:lineRule="auto"/>
        <w:rPr>
          <w:rFonts w:asciiTheme="majorHAnsi" w:eastAsia="Times New Roman" w:hAnsiTheme="majorHAnsi" w:cs="Times New Roman"/>
          <w:b/>
          <w:sz w:val="24"/>
          <w:szCs w:val="24"/>
          <w:lang w:bidi="en-US"/>
        </w:rPr>
      </w:pPr>
      <w:r w:rsidRPr="00FD6540">
        <w:rPr>
          <w:rFonts w:asciiTheme="majorHAnsi" w:eastAsia="Times New Roman" w:hAnsiTheme="majorHAnsi" w:cs="Times New Roman"/>
          <w:b/>
          <w:sz w:val="24"/>
          <w:szCs w:val="24"/>
          <w:lang w:bidi="en-US"/>
        </w:rPr>
        <w:t>The Catholic school emphasis on lived Christian community stimulates parental engagement:</w:t>
      </w:r>
    </w:p>
    <w:p w:rsidR="00E52231" w:rsidRPr="00FD6540" w:rsidRDefault="00E52231" w:rsidP="002841E4">
      <w:pPr>
        <w:spacing w:after="0" w:line="240" w:lineRule="auto"/>
        <w:ind w:left="720"/>
        <w:contextualSpacing/>
        <w:rPr>
          <w:rFonts w:asciiTheme="majorHAnsi" w:eastAsia="MS Mincho" w:hAnsiTheme="majorHAnsi" w:cs="Times New Roman"/>
          <w:b/>
          <w:sz w:val="24"/>
          <w:szCs w:val="24"/>
        </w:rPr>
      </w:pPr>
    </w:p>
    <w:p w:rsidR="00E52231" w:rsidRPr="00FD6540" w:rsidRDefault="00E52231" w:rsidP="002841E4">
      <w:pPr>
        <w:numPr>
          <w:ilvl w:val="0"/>
          <w:numId w:val="6"/>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Inner-city Catholic school parents report taking an active role in their children’s education, and they believe that participating in the Catholic school community represents an opportunity to break the cycle of poverty. (</w:t>
      </w:r>
      <w:hyperlink r:id="rId11" w:history="1">
        <w:r w:rsidRPr="00FD6540">
          <w:rPr>
            <w:rFonts w:asciiTheme="majorHAnsi" w:eastAsia="MS Mincho" w:hAnsiTheme="majorHAnsi" w:cs="Times New Roman"/>
            <w:color w:val="0000FF"/>
            <w:sz w:val="24"/>
            <w:szCs w:val="24"/>
            <w:u w:val="single"/>
          </w:rPr>
          <w:t>Stewart, Wolf, et. al, 2009</w:t>
        </w:r>
      </w:hyperlink>
      <w:r w:rsidRPr="00FD6540">
        <w:rPr>
          <w:rFonts w:asciiTheme="majorHAnsi" w:eastAsia="MS Mincho" w:hAnsiTheme="majorHAnsi" w:cs="Times New Roman"/>
          <w:sz w:val="24"/>
          <w:szCs w:val="24"/>
        </w:rPr>
        <w:t>)</w:t>
      </w:r>
    </w:p>
    <w:p w:rsidR="00E52231" w:rsidRPr="00FD6540" w:rsidRDefault="00E52231" w:rsidP="002841E4">
      <w:pPr>
        <w:spacing w:after="0" w:line="240" w:lineRule="auto"/>
        <w:rPr>
          <w:rFonts w:asciiTheme="majorHAnsi" w:eastAsia="Times New Roman" w:hAnsiTheme="majorHAnsi" w:cs="Times New Roman"/>
          <w:b/>
          <w:sz w:val="24"/>
          <w:szCs w:val="24"/>
          <w:lang w:bidi="en-US"/>
        </w:rPr>
      </w:pPr>
    </w:p>
    <w:p w:rsidR="00E52231" w:rsidRPr="00FD6540" w:rsidRDefault="00E52231" w:rsidP="002841E4">
      <w:pPr>
        <w:numPr>
          <w:ilvl w:val="0"/>
          <w:numId w:val="6"/>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Latino Catholic school parents believe their children are more motivated, more focused, and working harder since enrolling them in a Catholic school. (</w:t>
      </w:r>
      <w:hyperlink r:id="rId12" w:history="1">
        <w:r w:rsidRPr="00FD6540">
          <w:rPr>
            <w:rFonts w:asciiTheme="majorHAnsi" w:eastAsia="MS Mincho" w:hAnsiTheme="majorHAnsi" w:cs="Times New Roman"/>
            <w:color w:val="0000FF"/>
            <w:sz w:val="24"/>
            <w:szCs w:val="24"/>
            <w:u w:val="single"/>
          </w:rPr>
          <w:t>Stewart, Wolf, et. al, 2009, p. 32</w:t>
        </w:r>
      </w:hyperlink>
      <w:r w:rsidRPr="00FD6540">
        <w:rPr>
          <w:rFonts w:asciiTheme="majorHAnsi" w:eastAsia="MS Mincho" w:hAnsiTheme="majorHAnsi" w:cs="Times New Roman"/>
          <w:sz w:val="24"/>
          <w:szCs w:val="24"/>
        </w:rPr>
        <w:t>)</w:t>
      </w:r>
    </w:p>
    <w:p w:rsidR="00982459" w:rsidRDefault="00982459" w:rsidP="002841E4">
      <w:pPr>
        <w:spacing w:after="0" w:line="240" w:lineRule="auto"/>
        <w:rPr>
          <w:rFonts w:asciiTheme="majorHAnsi" w:eastAsia="MS Mincho" w:hAnsiTheme="majorHAnsi" w:cs="Times New Roman"/>
          <w:b/>
          <w:sz w:val="24"/>
          <w:szCs w:val="24"/>
        </w:rPr>
      </w:pPr>
    </w:p>
    <w:p w:rsidR="00E52231" w:rsidRPr="00FD6540" w:rsidRDefault="00E52231" w:rsidP="002841E4">
      <w:pPr>
        <w:spacing w:after="0" w:line="240" w:lineRule="auto"/>
        <w:rPr>
          <w:rFonts w:asciiTheme="majorHAnsi" w:eastAsia="Times New Roman" w:hAnsiTheme="majorHAnsi" w:cs="Times New Roman"/>
          <w:b/>
          <w:sz w:val="24"/>
          <w:szCs w:val="24"/>
          <w:lang w:bidi="en-US"/>
        </w:rPr>
      </w:pPr>
      <w:r w:rsidRPr="00FD6540">
        <w:rPr>
          <w:rFonts w:asciiTheme="majorHAnsi" w:eastAsia="Times New Roman" w:hAnsiTheme="majorHAnsi" w:cs="Times New Roman"/>
          <w:b/>
          <w:sz w:val="24"/>
          <w:szCs w:val="24"/>
          <w:lang w:bidi="en-US"/>
        </w:rPr>
        <w:lastRenderedPageBreak/>
        <w:t>Catholic schools generate social cohesion and preserve civic order in the local community</w:t>
      </w:r>
    </w:p>
    <w:p w:rsidR="00E52231" w:rsidRPr="00FD6540" w:rsidRDefault="00E52231" w:rsidP="002841E4">
      <w:pPr>
        <w:spacing w:after="0" w:line="240" w:lineRule="auto"/>
        <w:rPr>
          <w:rFonts w:asciiTheme="majorHAnsi" w:eastAsia="Times New Roman" w:hAnsiTheme="majorHAnsi" w:cs="Times New Roman"/>
          <w:b/>
          <w:sz w:val="24"/>
          <w:szCs w:val="24"/>
          <w:lang w:bidi="en-US"/>
        </w:rPr>
      </w:pPr>
    </w:p>
    <w:p w:rsidR="00E52231" w:rsidRPr="00FD6540" w:rsidRDefault="00E52231" w:rsidP="002841E4">
      <w:pPr>
        <w:numPr>
          <w:ilvl w:val="0"/>
          <w:numId w:val="7"/>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Neighborhood social cohesion decreases and disorder increases following the closure of a Catholic elementary school. (</w:t>
      </w:r>
      <w:proofErr w:type="spellStart"/>
      <w:r w:rsidR="004B0669">
        <w:fldChar w:fldCharType="begin"/>
      </w:r>
      <w:r w:rsidR="004B0669">
        <w:instrText xml:space="preserve"> HYPERLINK "http://papers.ssrn.com/sol3/papers.cfm?abstract_id=1395676" </w:instrText>
      </w:r>
      <w:r w:rsidR="004B0669">
        <w:fldChar w:fldCharType="separate"/>
      </w:r>
      <w:r w:rsidRPr="00FD6540">
        <w:rPr>
          <w:rFonts w:asciiTheme="majorHAnsi" w:eastAsia="MS Mincho" w:hAnsiTheme="majorHAnsi" w:cs="Times New Roman"/>
          <w:color w:val="0000FF"/>
          <w:sz w:val="24"/>
          <w:szCs w:val="24"/>
          <w:u w:val="single"/>
        </w:rPr>
        <w:t>Brinig</w:t>
      </w:r>
      <w:proofErr w:type="spellEnd"/>
      <w:r w:rsidRPr="00FD6540">
        <w:rPr>
          <w:rFonts w:asciiTheme="majorHAnsi" w:eastAsia="MS Mincho" w:hAnsiTheme="majorHAnsi" w:cs="Times New Roman"/>
          <w:color w:val="0000FF"/>
          <w:sz w:val="24"/>
          <w:szCs w:val="24"/>
          <w:u w:val="single"/>
        </w:rPr>
        <w:t xml:space="preserve"> &amp; Garnett, 2010, p. 890</w:t>
      </w:r>
      <w:r w:rsidR="004B0669">
        <w:rPr>
          <w:rFonts w:asciiTheme="majorHAnsi" w:eastAsia="MS Mincho" w:hAnsiTheme="majorHAnsi" w:cs="Times New Roman"/>
          <w:color w:val="0000FF"/>
          <w:sz w:val="24"/>
          <w:szCs w:val="24"/>
          <w:u w:val="single"/>
        </w:rPr>
        <w:fldChar w:fldCharType="end"/>
      </w:r>
      <w:r w:rsidRPr="00FD6540">
        <w:rPr>
          <w:rFonts w:asciiTheme="majorHAnsi" w:eastAsia="MS Mincho" w:hAnsiTheme="majorHAnsi" w:cs="Times New Roman"/>
          <w:sz w:val="24"/>
          <w:szCs w:val="24"/>
        </w:rPr>
        <w:t>)</w:t>
      </w:r>
    </w:p>
    <w:p w:rsidR="00E52231" w:rsidRPr="00FD6540" w:rsidRDefault="00E52231" w:rsidP="002841E4">
      <w:pPr>
        <w:spacing w:after="0" w:line="240" w:lineRule="auto"/>
        <w:ind w:left="720"/>
        <w:contextualSpacing/>
        <w:rPr>
          <w:rFonts w:asciiTheme="majorHAnsi" w:eastAsia="MS Mincho" w:hAnsiTheme="majorHAnsi" w:cs="Times New Roman"/>
          <w:b/>
          <w:sz w:val="24"/>
          <w:szCs w:val="24"/>
        </w:rPr>
      </w:pPr>
    </w:p>
    <w:p w:rsidR="00E52231" w:rsidRPr="00FD6540" w:rsidRDefault="00E52231" w:rsidP="002841E4">
      <w:pPr>
        <w:numPr>
          <w:ilvl w:val="0"/>
          <w:numId w:val="7"/>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Police beats in Chicago that experienced at least one Catholic school closure had a higher crime rate than those in which there were no closures. (</w:t>
      </w:r>
      <w:proofErr w:type="spellStart"/>
      <w:r w:rsidR="004B0669">
        <w:fldChar w:fldCharType="begin"/>
      </w:r>
      <w:r w:rsidR="004B0669">
        <w:instrText xml:space="preserve"> HYPERLINK "http://papers.ssrn.com/sol3/papers.cfm?abstract_id=1395676" </w:instrText>
      </w:r>
      <w:r w:rsidR="004B0669">
        <w:fldChar w:fldCharType="separate"/>
      </w:r>
      <w:r w:rsidRPr="00FD6540">
        <w:rPr>
          <w:rFonts w:asciiTheme="majorHAnsi" w:eastAsia="MS Mincho" w:hAnsiTheme="majorHAnsi" w:cs="Times New Roman"/>
          <w:color w:val="0000FF"/>
          <w:sz w:val="24"/>
          <w:szCs w:val="24"/>
          <w:u w:val="single"/>
        </w:rPr>
        <w:t>Brinig</w:t>
      </w:r>
      <w:proofErr w:type="spellEnd"/>
      <w:r w:rsidRPr="00FD6540">
        <w:rPr>
          <w:rFonts w:asciiTheme="majorHAnsi" w:eastAsia="MS Mincho" w:hAnsiTheme="majorHAnsi" w:cs="Times New Roman"/>
          <w:color w:val="0000FF"/>
          <w:sz w:val="24"/>
          <w:szCs w:val="24"/>
          <w:u w:val="single"/>
        </w:rPr>
        <w:t xml:space="preserve"> &amp; Garnett, 2011, p. 906</w:t>
      </w:r>
      <w:r w:rsidR="004B0669">
        <w:rPr>
          <w:rFonts w:asciiTheme="majorHAnsi" w:eastAsia="MS Mincho" w:hAnsiTheme="majorHAnsi" w:cs="Times New Roman"/>
          <w:color w:val="0000FF"/>
          <w:sz w:val="24"/>
          <w:szCs w:val="24"/>
          <w:u w:val="single"/>
        </w:rPr>
        <w:fldChar w:fldCharType="end"/>
      </w:r>
      <w:r w:rsidRPr="00FD6540">
        <w:rPr>
          <w:rFonts w:asciiTheme="majorHAnsi" w:eastAsia="MS Mincho" w:hAnsiTheme="majorHAnsi" w:cs="Times New Roman"/>
          <w:sz w:val="24"/>
          <w:szCs w:val="24"/>
        </w:rPr>
        <w:t>)</w:t>
      </w:r>
    </w:p>
    <w:p w:rsidR="00E52231" w:rsidRPr="00FD6540" w:rsidRDefault="00E52231" w:rsidP="002841E4">
      <w:pPr>
        <w:spacing w:after="0" w:line="240" w:lineRule="auto"/>
        <w:rPr>
          <w:rFonts w:asciiTheme="majorHAnsi" w:eastAsia="Times New Roman" w:hAnsiTheme="majorHAnsi" w:cs="Times New Roman"/>
          <w:b/>
          <w:sz w:val="24"/>
          <w:szCs w:val="24"/>
          <w:lang w:bidi="en-US"/>
        </w:rPr>
      </w:pPr>
    </w:p>
    <w:p w:rsidR="00E52231" w:rsidRDefault="00E52231" w:rsidP="002841E4">
      <w:pPr>
        <w:spacing w:after="0" w:line="240" w:lineRule="auto"/>
        <w:rPr>
          <w:rFonts w:asciiTheme="majorHAnsi" w:eastAsia="Times New Roman" w:hAnsiTheme="majorHAnsi" w:cs="Times New Roman"/>
          <w:b/>
          <w:sz w:val="24"/>
          <w:szCs w:val="24"/>
          <w:lang w:bidi="en-US"/>
        </w:rPr>
      </w:pPr>
      <w:r w:rsidRPr="00FD6540">
        <w:rPr>
          <w:rFonts w:asciiTheme="majorHAnsi" w:eastAsia="Times New Roman" w:hAnsiTheme="majorHAnsi" w:cs="Times New Roman"/>
          <w:b/>
          <w:sz w:val="24"/>
          <w:szCs w:val="24"/>
          <w:lang w:bidi="en-US"/>
        </w:rPr>
        <w:t xml:space="preserve">Catholic schools are sacred places </w:t>
      </w:r>
      <w:r w:rsidR="00A00FB0">
        <w:rPr>
          <w:rFonts w:asciiTheme="majorHAnsi" w:eastAsia="Times New Roman" w:hAnsiTheme="majorHAnsi" w:cs="Times New Roman"/>
          <w:b/>
          <w:sz w:val="24"/>
          <w:szCs w:val="24"/>
          <w:lang w:bidi="en-US"/>
        </w:rPr>
        <w:t>helping to build a better society</w:t>
      </w:r>
    </w:p>
    <w:p w:rsidR="00A00FB0" w:rsidRDefault="00A00FB0" w:rsidP="002841E4">
      <w:pPr>
        <w:spacing w:after="0" w:line="240" w:lineRule="auto"/>
        <w:rPr>
          <w:rFonts w:asciiTheme="majorHAnsi" w:eastAsia="Times New Roman" w:hAnsiTheme="majorHAnsi" w:cs="Times New Roman"/>
          <w:b/>
          <w:sz w:val="24"/>
          <w:szCs w:val="24"/>
          <w:lang w:bidi="en-US"/>
        </w:rPr>
      </w:pPr>
    </w:p>
    <w:p w:rsidR="00A00FB0" w:rsidRPr="00A00FB0" w:rsidRDefault="00A00FB0" w:rsidP="00A00FB0">
      <w:pPr>
        <w:pStyle w:val="ListParagraph"/>
        <w:numPr>
          <w:ilvl w:val="0"/>
          <w:numId w:val="18"/>
        </w:numPr>
        <w:spacing w:after="0" w:line="240" w:lineRule="auto"/>
        <w:rPr>
          <w:rFonts w:asciiTheme="majorHAnsi" w:eastAsia="Times New Roman" w:hAnsiTheme="majorHAnsi" w:cs="Times New Roman"/>
          <w:sz w:val="24"/>
          <w:szCs w:val="24"/>
          <w:lang w:bidi="en-US"/>
        </w:rPr>
      </w:pPr>
      <w:r w:rsidRPr="00A00FB0">
        <w:rPr>
          <w:rFonts w:asciiTheme="majorHAnsi" w:eastAsia="Times New Roman" w:hAnsiTheme="majorHAnsi" w:cs="Times New Roman"/>
          <w:sz w:val="24"/>
          <w:szCs w:val="24"/>
          <w:lang w:bidi="en-US"/>
        </w:rPr>
        <w:t>Graduates of Catholic high schools are mo</w:t>
      </w:r>
      <w:r>
        <w:rPr>
          <w:rFonts w:asciiTheme="majorHAnsi" w:eastAsia="Times New Roman" w:hAnsiTheme="majorHAnsi" w:cs="Times New Roman"/>
          <w:sz w:val="24"/>
          <w:szCs w:val="24"/>
          <w:lang w:bidi="en-US"/>
        </w:rPr>
        <w:t>r</w:t>
      </w:r>
      <w:r w:rsidRPr="00A00FB0">
        <w:rPr>
          <w:rFonts w:asciiTheme="majorHAnsi" w:eastAsia="Times New Roman" w:hAnsiTheme="majorHAnsi" w:cs="Times New Roman"/>
          <w:sz w:val="24"/>
          <w:szCs w:val="24"/>
          <w:lang w:bidi="en-US"/>
        </w:rPr>
        <w:t>e likely to vote.</w:t>
      </w:r>
      <w:r>
        <w:rPr>
          <w:rFonts w:asciiTheme="majorHAnsi" w:eastAsia="Times New Roman" w:hAnsiTheme="majorHAnsi" w:cs="Times New Roman"/>
          <w:sz w:val="24"/>
          <w:szCs w:val="24"/>
          <w:lang w:bidi="en-US"/>
        </w:rPr>
        <w:t xml:space="preserve"> (Cohen &amp; Chafee, 2012)</w:t>
      </w:r>
    </w:p>
    <w:p w:rsidR="00E52231" w:rsidRPr="00A00FB0" w:rsidRDefault="00E52231" w:rsidP="002841E4">
      <w:pPr>
        <w:spacing w:after="0" w:line="240" w:lineRule="auto"/>
        <w:rPr>
          <w:rFonts w:asciiTheme="majorHAnsi" w:eastAsia="Times New Roman" w:hAnsiTheme="majorHAnsi" w:cs="Times New Roman"/>
          <w:sz w:val="24"/>
          <w:szCs w:val="24"/>
          <w:lang w:bidi="en-US"/>
        </w:rPr>
      </w:pPr>
    </w:p>
    <w:p w:rsidR="00E52231" w:rsidRPr="00FD6540" w:rsidRDefault="00E52231" w:rsidP="002841E4">
      <w:pPr>
        <w:numPr>
          <w:ilvl w:val="0"/>
          <w:numId w:val="8"/>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Catholic schools save taxpayers more than $2</w:t>
      </w:r>
      <w:r w:rsidR="0078717E">
        <w:rPr>
          <w:rFonts w:asciiTheme="majorHAnsi" w:eastAsia="MS Mincho" w:hAnsiTheme="majorHAnsi" w:cs="Times New Roman"/>
          <w:sz w:val="24"/>
          <w:szCs w:val="24"/>
        </w:rPr>
        <w:t>4</w:t>
      </w:r>
      <w:r w:rsidRPr="00FD6540">
        <w:rPr>
          <w:rFonts w:asciiTheme="majorHAnsi" w:eastAsia="MS Mincho" w:hAnsiTheme="majorHAnsi" w:cs="Times New Roman"/>
          <w:sz w:val="24"/>
          <w:szCs w:val="24"/>
        </w:rPr>
        <w:t xml:space="preserve"> billion annually. (McDonald &amp; Schultz, 2013)</w:t>
      </w:r>
    </w:p>
    <w:p w:rsidR="00E52231" w:rsidRPr="00FD6540" w:rsidRDefault="00E52231" w:rsidP="002841E4">
      <w:pPr>
        <w:spacing w:after="0" w:line="240" w:lineRule="auto"/>
        <w:ind w:left="720"/>
        <w:contextualSpacing/>
        <w:rPr>
          <w:rFonts w:asciiTheme="majorHAnsi" w:eastAsia="MS Mincho" w:hAnsiTheme="majorHAnsi" w:cs="Times New Roman"/>
          <w:b/>
          <w:sz w:val="24"/>
          <w:szCs w:val="24"/>
        </w:rPr>
      </w:pPr>
    </w:p>
    <w:p w:rsidR="00E52231" w:rsidRPr="00FD6540" w:rsidRDefault="00E52231" w:rsidP="002841E4">
      <w:pPr>
        <w:numPr>
          <w:ilvl w:val="0"/>
          <w:numId w:val="8"/>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Catholic school graduates enjoy higher earning potential than public school graduates. (</w:t>
      </w:r>
      <w:hyperlink r:id="rId13" w:history="1">
        <w:r w:rsidRPr="00FD6540">
          <w:rPr>
            <w:rFonts w:asciiTheme="majorHAnsi" w:eastAsia="MS Mincho" w:hAnsiTheme="majorHAnsi" w:cs="Times New Roman"/>
            <w:color w:val="0000FF"/>
            <w:sz w:val="24"/>
            <w:szCs w:val="24"/>
            <w:u w:val="single"/>
          </w:rPr>
          <w:t>Neal, 1997, p. 108</w:t>
        </w:r>
      </w:hyperlink>
      <w:r w:rsidRPr="00FD6540">
        <w:rPr>
          <w:rFonts w:asciiTheme="majorHAnsi" w:eastAsia="MS Mincho" w:hAnsiTheme="majorHAnsi" w:cs="Times New Roman"/>
          <w:sz w:val="24"/>
          <w:szCs w:val="24"/>
        </w:rPr>
        <w:t xml:space="preserve">; </w:t>
      </w:r>
      <w:hyperlink r:id="rId14" w:history="1">
        <w:proofErr w:type="spellStart"/>
        <w:r w:rsidRPr="00FD6540">
          <w:rPr>
            <w:rFonts w:asciiTheme="majorHAnsi" w:eastAsia="MS Mincho" w:hAnsiTheme="majorHAnsi" w:cs="Times New Roman"/>
            <w:color w:val="0000FF"/>
            <w:sz w:val="24"/>
            <w:szCs w:val="24"/>
            <w:u w:val="single"/>
          </w:rPr>
          <w:t>Owyang</w:t>
        </w:r>
        <w:proofErr w:type="spellEnd"/>
        <w:r w:rsidRPr="00FD6540">
          <w:rPr>
            <w:rFonts w:asciiTheme="majorHAnsi" w:eastAsia="MS Mincho" w:hAnsiTheme="majorHAnsi" w:cs="Times New Roman"/>
            <w:color w:val="0000FF"/>
            <w:sz w:val="24"/>
            <w:szCs w:val="24"/>
            <w:u w:val="single"/>
          </w:rPr>
          <w:t xml:space="preserve">, and </w:t>
        </w:r>
        <w:proofErr w:type="spellStart"/>
        <w:r w:rsidRPr="00FD6540">
          <w:rPr>
            <w:rFonts w:asciiTheme="majorHAnsi" w:eastAsia="MS Mincho" w:hAnsiTheme="majorHAnsi" w:cs="Times New Roman"/>
            <w:color w:val="0000FF"/>
            <w:sz w:val="24"/>
            <w:szCs w:val="24"/>
            <w:u w:val="single"/>
          </w:rPr>
          <w:t>Vermann</w:t>
        </w:r>
        <w:proofErr w:type="spellEnd"/>
        <w:r w:rsidRPr="00FD6540">
          <w:rPr>
            <w:rFonts w:asciiTheme="majorHAnsi" w:eastAsia="MS Mincho" w:hAnsiTheme="majorHAnsi" w:cs="Times New Roman"/>
            <w:color w:val="0000FF"/>
            <w:sz w:val="24"/>
            <w:szCs w:val="24"/>
            <w:u w:val="single"/>
          </w:rPr>
          <w:t>, 2012, p. 4</w:t>
        </w:r>
      </w:hyperlink>
      <w:r w:rsidRPr="00FD6540">
        <w:rPr>
          <w:rFonts w:asciiTheme="majorHAnsi" w:eastAsia="MS Mincho" w:hAnsiTheme="majorHAnsi" w:cs="Times New Roman"/>
          <w:sz w:val="24"/>
          <w:szCs w:val="24"/>
        </w:rPr>
        <w:t>)</w:t>
      </w:r>
    </w:p>
    <w:p w:rsidR="00E52231" w:rsidRPr="00FD6540" w:rsidRDefault="00E52231" w:rsidP="002841E4">
      <w:pPr>
        <w:spacing w:after="0" w:line="240" w:lineRule="auto"/>
        <w:rPr>
          <w:rFonts w:asciiTheme="majorHAnsi" w:eastAsia="Times New Roman" w:hAnsiTheme="majorHAnsi" w:cs="Times New Roman"/>
          <w:b/>
          <w:sz w:val="24"/>
          <w:szCs w:val="24"/>
          <w:lang w:bidi="en-US"/>
        </w:rPr>
      </w:pPr>
      <w:r w:rsidRPr="00FD6540">
        <w:rPr>
          <w:rFonts w:asciiTheme="majorHAnsi" w:eastAsia="Times New Roman" w:hAnsiTheme="majorHAnsi" w:cs="Times New Roman"/>
          <w:sz w:val="24"/>
          <w:szCs w:val="24"/>
          <w:lang w:bidi="en-US"/>
        </w:rPr>
        <w:t xml:space="preserve"> </w:t>
      </w:r>
    </w:p>
    <w:p w:rsidR="00E52231" w:rsidRPr="00FD6540" w:rsidRDefault="00E52231" w:rsidP="002841E4">
      <w:pPr>
        <w:numPr>
          <w:ilvl w:val="0"/>
          <w:numId w:val="8"/>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Catholic school graduates are more civically engaged, more tolerant of diverse views, and more committed to service as adults, and less likely to be incarcerated than their public school peers. (Campbell, 2001)</w:t>
      </w:r>
    </w:p>
    <w:p w:rsidR="00E52231" w:rsidRPr="00FD6540" w:rsidRDefault="00E52231" w:rsidP="002841E4">
      <w:pPr>
        <w:spacing w:after="0" w:line="240" w:lineRule="auto"/>
        <w:rPr>
          <w:rFonts w:asciiTheme="majorHAnsi" w:eastAsia="Times New Roman" w:hAnsiTheme="majorHAnsi" w:cs="Times New Roman"/>
          <w:b/>
          <w:sz w:val="24"/>
          <w:szCs w:val="24"/>
          <w:u w:val="single"/>
          <w:lang w:bidi="en-US"/>
        </w:rPr>
      </w:pPr>
    </w:p>
    <w:p w:rsidR="00E52231" w:rsidRPr="000764FB" w:rsidRDefault="00982459" w:rsidP="002841E4">
      <w:pPr>
        <w:spacing w:after="0" w:line="240" w:lineRule="auto"/>
        <w:rPr>
          <w:rFonts w:asciiTheme="majorHAnsi" w:eastAsia="Times New Roman" w:hAnsiTheme="majorHAnsi" w:cs="Times New Roman"/>
          <w:i/>
          <w:sz w:val="24"/>
          <w:szCs w:val="24"/>
          <w:lang w:bidi="en-US"/>
        </w:rPr>
      </w:pPr>
      <w:r w:rsidRPr="000764FB">
        <w:rPr>
          <w:rFonts w:asciiTheme="majorHAnsi" w:eastAsia="Times New Roman" w:hAnsiTheme="majorHAnsi" w:cs="Times New Roman"/>
          <w:b/>
          <w:i/>
          <w:sz w:val="24"/>
          <w:szCs w:val="24"/>
          <w:lang w:bidi="en-US"/>
        </w:rPr>
        <w:t xml:space="preserve">Part IV. </w:t>
      </w:r>
      <w:r w:rsidR="00E52231" w:rsidRPr="000764FB">
        <w:rPr>
          <w:rFonts w:asciiTheme="majorHAnsi" w:eastAsia="Times New Roman" w:hAnsiTheme="majorHAnsi" w:cs="Times New Roman"/>
          <w:b/>
          <w:i/>
          <w:sz w:val="24"/>
          <w:szCs w:val="24"/>
          <w:lang w:bidi="en-US"/>
        </w:rPr>
        <w:t>Parental Choice Benefits</w:t>
      </w:r>
    </w:p>
    <w:p w:rsidR="00E52231" w:rsidRPr="00FD6540" w:rsidRDefault="00E52231" w:rsidP="002841E4">
      <w:pPr>
        <w:spacing w:after="0" w:line="240" w:lineRule="auto"/>
        <w:rPr>
          <w:rFonts w:asciiTheme="majorHAnsi" w:eastAsia="Times New Roman" w:hAnsiTheme="majorHAnsi" w:cs="Times New Roman"/>
          <w:sz w:val="24"/>
          <w:szCs w:val="24"/>
          <w:lang w:bidi="en-US"/>
        </w:rPr>
      </w:pPr>
    </w:p>
    <w:p w:rsidR="00E52231" w:rsidRPr="00FD6540" w:rsidRDefault="00E52231" w:rsidP="002841E4">
      <w:pPr>
        <w:spacing w:after="0" w:line="240" w:lineRule="auto"/>
        <w:rPr>
          <w:rFonts w:asciiTheme="majorHAnsi" w:eastAsia="Times New Roman" w:hAnsiTheme="majorHAnsi" w:cs="Times New Roman"/>
          <w:b/>
          <w:sz w:val="24"/>
          <w:szCs w:val="24"/>
          <w:lang w:bidi="en-US"/>
        </w:rPr>
      </w:pPr>
      <w:r w:rsidRPr="00FD6540">
        <w:rPr>
          <w:rFonts w:asciiTheme="majorHAnsi" w:eastAsia="Times New Roman" w:hAnsiTheme="majorHAnsi" w:cs="Times New Roman"/>
          <w:b/>
          <w:sz w:val="24"/>
          <w:szCs w:val="24"/>
          <w:lang w:bidi="en-US"/>
        </w:rPr>
        <w:t>Parental Choice Improves Student Achievement and Attainment:</w:t>
      </w:r>
    </w:p>
    <w:p w:rsidR="00E52231" w:rsidRPr="00FD6540" w:rsidRDefault="00E52231" w:rsidP="002841E4">
      <w:pPr>
        <w:spacing w:after="0" w:line="240" w:lineRule="auto"/>
        <w:rPr>
          <w:rFonts w:asciiTheme="majorHAnsi" w:eastAsia="Times New Roman" w:hAnsiTheme="majorHAnsi" w:cs="Times New Roman"/>
          <w:b/>
          <w:sz w:val="24"/>
          <w:szCs w:val="24"/>
          <w:lang w:bidi="en-US"/>
        </w:rPr>
      </w:pPr>
    </w:p>
    <w:p w:rsidR="00E52231" w:rsidRPr="00FD6540" w:rsidRDefault="00E52231" w:rsidP="002841E4">
      <w:pPr>
        <w:numPr>
          <w:ilvl w:val="0"/>
          <w:numId w:val="5"/>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Students participating in the Milwaukee Parental Choice Program demonstrated higher academic growth in reading than similar students in Milwaukee Public Schools. (</w:t>
      </w:r>
      <w:hyperlink r:id="rId15" w:history="1">
        <w:r w:rsidRPr="00FD6540">
          <w:rPr>
            <w:rFonts w:asciiTheme="majorHAnsi" w:eastAsia="MS Mincho" w:hAnsiTheme="majorHAnsi" w:cs="Times New Roman"/>
            <w:color w:val="0000FF"/>
            <w:sz w:val="24"/>
            <w:szCs w:val="24"/>
            <w:u w:val="single"/>
          </w:rPr>
          <w:t>Wolf, 2012, p.8</w:t>
        </w:r>
      </w:hyperlink>
      <w:r w:rsidRPr="00FD6540">
        <w:rPr>
          <w:rFonts w:asciiTheme="majorHAnsi" w:eastAsia="MS Mincho" w:hAnsiTheme="majorHAnsi" w:cs="Times New Roman"/>
          <w:sz w:val="24"/>
          <w:szCs w:val="24"/>
        </w:rPr>
        <w:t>)</w:t>
      </w:r>
    </w:p>
    <w:p w:rsidR="00E52231" w:rsidRPr="00FD6540" w:rsidRDefault="00E52231" w:rsidP="002841E4">
      <w:pPr>
        <w:spacing w:after="0" w:line="240" w:lineRule="auto"/>
        <w:ind w:left="630"/>
        <w:contextualSpacing/>
        <w:rPr>
          <w:rFonts w:asciiTheme="majorHAnsi" w:eastAsia="MS Mincho" w:hAnsiTheme="majorHAnsi" w:cs="Times New Roman"/>
          <w:b/>
          <w:sz w:val="24"/>
          <w:szCs w:val="24"/>
        </w:rPr>
      </w:pPr>
    </w:p>
    <w:p w:rsidR="00E52231" w:rsidRPr="00FD6540" w:rsidRDefault="00E52231" w:rsidP="002841E4">
      <w:pPr>
        <w:numPr>
          <w:ilvl w:val="0"/>
          <w:numId w:val="5"/>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Students participating in the Washington, DC Opportunity Scholarship Program demonstrated more than 3 months of additional gains in reading over their public school peers in a single school year. (</w:t>
      </w:r>
      <w:hyperlink r:id="rId16" w:history="1">
        <w:r w:rsidRPr="00FD6540">
          <w:rPr>
            <w:rFonts w:asciiTheme="majorHAnsi" w:eastAsia="MS Mincho" w:hAnsiTheme="majorHAnsi" w:cs="Times New Roman"/>
            <w:color w:val="0000FF"/>
            <w:sz w:val="24"/>
            <w:szCs w:val="24"/>
            <w:u w:val="single"/>
          </w:rPr>
          <w:t>Wolf, Guttmann, et al., 2009</w:t>
        </w:r>
      </w:hyperlink>
      <w:r w:rsidRPr="00FD6540">
        <w:rPr>
          <w:rFonts w:asciiTheme="majorHAnsi" w:eastAsia="MS Mincho" w:hAnsiTheme="majorHAnsi" w:cs="Times New Roman"/>
          <w:sz w:val="24"/>
          <w:szCs w:val="24"/>
        </w:rPr>
        <w:t>)</w:t>
      </w:r>
    </w:p>
    <w:p w:rsidR="00E52231" w:rsidRPr="00FD6540" w:rsidRDefault="00E52231" w:rsidP="002841E4">
      <w:pPr>
        <w:spacing w:after="0" w:line="240" w:lineRule="auto"/>
        <w:rPr>
          <w:rFonts w:asciiTheme="majorHAnsi" w:eastAsia="Times New Roman" w:hAnsiTheme="majorHAnsi" w:cs="Times New Roman"/>
          <w:b/>
          <w:sz w:val="24"/>
          <w:szCs w:val="24"/>
          <w:lang w:bidi="en-US"/>
        </w:rPr>
      </w:pPr>
    </w:p>
    <w:p w:rsidR="00E52231" w:rsidRPr="00FD6540" w:rsidRDefault="00E52231" w:rsidP="002841E4">
      <w:pPr>
        <w:numPr>
          <w:ilvl w:val="0"/>
          <w:numId w:val="5"/>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Students participating in the Milwaukee Parental Choice Program posted a graduation rate more than 7.2% higher than students in Milwaukee Public Schools. (</w:t>
      </w:r>
      <w:hyperlink r:id="rId17" w:history="1">
        <w:r w:rsidRPr="00FD6540">
          <w:rPr>
            <w:rFonts w:asciiTheme="majorHAnsi" w:eastAsia="MS Mincho" w:hAnsiTheme="majorHAnsi" w:cs="Times New Roman"/>
            <w:color w:val="0000FF"/>
            <w:sz w:val="24"/>
            <w:szCs w:val="24"/>
            <w:u w:val="single"/>
          </w:rPr>
          <w:t>Cohen, Fleming, et al., 2011, p.7</w:t>
        </w:r>
      </w:hyperlink>
      <w:r w:rsidRPr="00FD6540">
        <w:rPr>
          <w:rFonts w:asciiTheme="majorHAnsi" w:eastAsia="MS Mincho" w:hAnsiTheme="majorHAnsi" w:cs="Times New Roman"/>
          <w:sz w:val="24"/>
          <w:szCs w:val="24"/>
        </w:rPr>
        <w:t>)</w:t>
      </w:r>
    </w:p>
    <w:p w:rsidR="00E52231" w:rsidRPr="00FD6540" w:rsidRDefault="00E52231" w:rsidP="002841E4">
      <w:pPr>
        <w:spacing w:after="0" w:line="240" w:lineRule="auto"/>
        <w:rPr>
          <w:rFonts w:asciiTheme="majorHAnsi" w:eastAsia="Times New Roman" w:hAnsiTheme="majorHAnsi" w:cs="Times New Roman"/>
          <w:b/>
          <w:sz w:val="24"/>
          <w:szCs w:val="24"/>
          <w:lang w:bidi="en-US"/>
        </w:rPr>
      </w:pPr>
    </w:p>
    <w:p w:rsidR="00E52231" w:rsidRPr="00FD6540" w:rsidRDefault="00E52231" w:rsidP="002841E4">
      <w:pPr>
        <w:numPr>
          <w:ilvl w:val="0"/>
          <w:numId w:val="5"/>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African American students participating in a privately funded parental choice program were 24% more likely to enroll in college as a result of receiving a voucher. (</w:t>
      </w:r>
      <w:proofErr w:type="spellStart"/>
      <w:r w:rsidR="004B0669">
        <w:fldChar w:fldCharType="begin"/>
      </w:r>
      <w:r w:rsidR="004B0669">
        <w:instrText xml:space="preserve"> HYPERLINK "http://www.brookings.edu/~/media/Research/Files/Papers/2012/8/23%20school%20vouchers%20harvard%20chingos/Impacts_of_School_Vouchers_FINAL.pdf" </w:instrText>
      </w:r>
      <w:r w:rsidR="004B0669">
        <w:fldChar w:fldCharType="separate"/>
      </w:r>
      <w:r w:rsidRPr="00FD6540">
        <w:rPr>
          <w:rFonts w:asciiTheme="majorHAnsi" w:eastAsia="MS Mincho" w:hAnsiTheme="majorHAnsi" w:cs="Times New Roman"/>
          <w:color w:val="0000FF"/>
          <w:sz w:val="24"/>
          <w:szCs w:val="24"/>
          <w:u w:val="single"/>
        </w:rPr>
        <w:t>Chingos</w:t>
      </w:r>
      <w:proofErr w:type="spellEnd"/>
      <w:r w:rsidRPr="00FD6540">
        <w:rPr>
          <w:rFonts w:asciiTheme="majorHAnsi" w:eastAsia="MS Mincho" w:hAnsiTheme="majorHAnsi" w:cs="Times New Roman"/>
          <w:color w:val="0000FF"/>
          <w:sz w:val="24"/>
          <w:szCs w:val="24"/>
          <w:u w:val="single"/>
        </w:rPr>
        <w:t xml:space="preserve"> &amp; Peterson, 2012, p. 12</w:t>
      </w:r>
      <w:r w:rsidR="004B0669">
        <w:rPr>
          <w:rFonts w:asciiTheme="majorHAnsi" w:eastAsia="MS Mincho" w:hAnsiTheme="majorHAnsi" w:cs="Times New Roman"/>
          <w:color w:val="0000FF"/>
          <w:sz w:val="24"/>
          <w:szCs w:val="24"/>
          <w:u w:val="single"/>
        </w:rPr>
        <w:fldChar w:fldCharType="end"/>
      </w:r>
      <w:r w:rsidRPr="00FD6540">
        <w:rPr>
          <w:rFonts w:asciiTheme="majorHAnsi" w:eastAsia="MS Mincho" w:hAnsiTheme="majorHAnsi" w:cs="Times New Roman"/>
          <w:sz w:val="24"/>
          <w:szCs w:val="24"/>
        </w:rPr>
        <w:t>)</w:t>
      </w:r>
    </w:p>
    <w:p w:rsidR="00E52231" w:rsidRPr="00FD6540" w:rsidRDefault="00E52231" w:rsidP="002841E4">
      <w:pPr>
        <w:spacing w:after="0" w:line="240" w:lineRule="auto"/>
        <w:rPr>
          <w:rFonts w:asciiTheme="majorHAnsi" w:eastAsia="Times New Roman" w:hAnsiTheme="majorHAnsi" w:cs="Times New Roman"/>
          <w:sz w:val="24"/>
          <w:szCs w:val="24"/>
          <w:lang w:bidi="en-US"/>
        </w:rPr>
      </w:pPr>
    </w:p>
    <w:p w:rsidR="00E52231" w:rsidRPr="00FD6540" w:rsidRDefault="00E52231" w:rsidP="002841E4">
      <w:pPr>
        <w:spacing w:after="0" w:line="240" w:lineRule="auto"/>
        <w:rPr>
          <w:rFonts w:asciiTheme="majorHAnsi" w:eastAsia="Times New Roman" w:hAnsiTheme="majorHAnsi" w:cs="Times New Roman"/>
          <w:b/>
          <w:sz w:val="24"/>
          <w:szCs w:val="24"/>
          <w:lang w:bidi="en-US"/>
        </w:rPr>
      </w:pPr>
      <w:r w:rsidRPr="00FD6540">
        <w:rPr>
          <w:rFonts w:asciiTheme="majorHAnsi" w:eastAsia="Times New Roman" w:hAnsiTheme="majorHAnsi" w:cs="Times New Roman"/>
          <w:b/>
          <w:sz w:val="24"/>
          <w:szCs w:val="24"/>
          <w:lang w:bidi="en-US"/>
        </w:rPr>
        <w:t>Parental Choice Empowers Families:</w:t>
      </w:r>
    </w:p>
    <w:p w:rsidR="00E52231" w:rsidRPr="00FD6540" w:rsidRDefault="00E52231" w:rsidP="002841E4">
      <w:pPr>
        <w:spacing w:after="0" w:line="240" w:lineRule="auto"/>
        <w:rPr>
          <w:rFonts w:asciiTheme="majorHAnsi" w:eastAsia="Times New Roman" w:hAnsiTheme="majorHAnsi" w:cs="Times New Roman"/>
          <w:b/>
          <w:sz w:val="24"/>
          <w:szCs w:val="24"/>
          <w:lang w:bidi="en-US"/>
        </w:rPr>
      </w:pPr>
    </w:p>
    <w:p w:rsidR="00E52231" w:rsidRPr="00FD6540" w:rsidRDefault="00E52231" w:rsidP="002841E4">
      <w:pPr>
        <w:numPr>
          <w:ilvl w:val="0"/>
          <w:numId w:val="9"/>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More than 90% of parents participating in the Washington DC Opportunity Scholarship Program report being happy with their current scholarship school. (</w:t>
      </w:r>
      <w:hyperlink r:id="rId18" w:history="1">
        <w:r w:rsidRPr="00FD6540">
          <w:rPr>
            <w:rFonts w:asciiTheme="majorHAnsi" w:eastAsia="MS Mincho" w:hAnsiTheme="majorHAnsi" w:cs="Times New Roman"/>
            <w:color w:val="0000FF"/>
            <w:sz w:val="24"/>
            <w:szCs w:val="24"/>
            <w:u w:val="single"/>
          </w:rPr>
          <w:t>Glenn &amp; Swindler, 2013, p. 18</w:t>
        </w:r>
      </w:hyperlink>
      <w:r w:rsidRPr="00FD6540">
        <w:rPr>
          <w:rFonts w:asciiTheme="majorHAnsi" w:eastAsia="MS Mincho" w:hAnsiTheme="majorHAnsi" w:cs="Times New Roman"/>
          <w:sz w:val="24"/>
          <w:szCs w:val="24"/>
        </w:rPr>
        <w:t>)</w:t>
      </w:r>
    </w:p>
    <w:p w:rsidR="00E52231" w:rsidRPr="00FD6540" w:rsidRDefault="00E52231" w:rsidP="002841E4">
      <w:pPr>
        <w:spacing w:after="0" w:line="240" w:lineRule="auto"/>
        <w:ind w:left="630"/>
        <w:contextualSpacing/>
        <w:rPr>
          <w:rFonts w:asciiTheme="majorHAnsi" w:eastAsia="MS Mincho" w:hAnsiTheme="majorHAnsi" w:cs="Times New Roman"/>
          <w:b/>
          <w:sz w:val="24"/>
          <w:szCs w:val="24"/>
        </w:rPr>
      </w:pPr>
    </w:p>
    <w:p w:rsidR="00E52231" w:rsidRPr="00FD6540" w:rsidRDefault="00E52231" w:rsidP="002841E4">
      <w:pPr>
        <w:numPr>
          <w:ilvl w:val="0"/>
          <w:numId w:val="9"/>
        </w:numPr>
        <w:spacing w:after="0" w:line="240" w:lineRule="auto"/>
        <w:ind w:left="630"/>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More than 97% of the parents participating in the Florida Scholarship Tax Credit report being happy with their current scholarship school. (</w:t>
      </w:r>
      <w:hyperlink r:id="rId19" w:history="1">
        <w:r w:rsidRPr="00FD6540">
          <w:rPr>
            <w:rFonts w:asciiTheme="majorHAnsi" w:eastAsia="MS Mincho" w:hAnsiTheme="majorHAnsi" w:cs="Times New Roman"/>
            <w:color w:val="0000FF"/>
            <w:sz w:val="24"/>
            <w:szCs w:val="24"/>
            <w:u w:val="single"/>
          </w:rPr>
          <w:t>Glenn &amp; Swindler, 2013, p. 18</w:t>
        </w:r>
      </w:hyperlink>
      <w:r w:rsidRPr="00FD6540">
        <w:rPr>
          <w:rFonts w:asciiTheme="majorHAnsi" w:eastAsia="MS Mincho" w:hAnsiTheme="majorHAnsi" w:cs="Times New Roman"/>
          <w:sz w:val="24"/>
          <w:szCs w:val="24"/>
        </w:rPr>
        <w:t>)</w:t>
      </w:r>
    </w:p>
    <w:p w:rsidR="00E52231" w:rsidRPr="00FD6540" w:rsidRDefault="00E52231" w:rsidP="002841E4">
      <w:pPr>
        <w:spacing w:after="0" w:line="240" w:lineRule="auto"/>
        <w:rPr>
          <w:rFonts w:asciiTheme="majorHAnsi" w:eastAsia="Times New Roman" w:hAnsiTheme="majorHAnsi" w:cs="Times New Roman"/>
          <w:b/>
          <w:sz w:val="24"/>
          <w:szCs w:val="24"/>
          <w:lang w:bidi="en-US"/>
        </w:rPr>
      </w:pPr>
    </w:p>
    <w:p w:rsidR="00E52231" w:rsidRPr="00FD6540" w:rsidRDefault="00E52231" w:rsidP="002841E4">
      <w:pPr>
        <w:spacing w:after="0" w:line="240" w:lineRule="auto"/>
        <w:rPr>
          <w:rFonts w:asciiTheme="majorHAnsi" w:eastAsia="Times New Roman" w:hAnsiTheme="majorHAnsi" w:cs="Times New Roman"/>
          <w:b/>
          <w:sz w:val="24"/>
          <w:szCs w:val="24"/>
          <w:lang w:bidi="en-US"/>
        </w:rPr>
      </w:pPr>
      <w:r w:rsidRPr="00FD6540">
        <w:rPr>
          <w:rFonts w:asciiTheme="majorHAnsi" w:eastAsia="Times New Roman" w:hAnsiTheme="majorHAnsi" w:cs="Times New Roman"/>
          <w:b/>
          <w:sz w:val="24"/>
          <w:szCs w:val="24"/>
          <w:lang w:bidi="en-US"/>
        </w:rPr>
        <w:t>Parental Choice Provides Fiscal Savings:</w:t>
      </w:r>
    </w:p>
    <w:p w:rsidR="00E52231" w:rsidRPr="00FD6540" w:rsidRDefault="00E52231" w:rsidP="002841E4">
      <w:pPr>
        <w:spacing w:after="0" w:line="240" w:lineRule="auto"/>
        <w:rPr>
          <w:rFonts w:asciiTheme="majorHAnsi" w:eastAsia="Times New Roman" w:hAnsiTheme="majorHAnsi" w:cs="Times New Roman"/>
          <w:b/>
          <w:sz w:val="24"/>
          <w:szCs w:val="24"/>
          <w:lang w:bidi="en-US"/>
        </w:rPr>
      </w:pPr>
    </w:p>
    <w:p w:rsidR="00E52231" w:rsidRPr="00FD6540" w:rsidRDefault="00E52231" w:rsidP="002841E4">
      <w:pPr>
        <w:numPr>
          <w:ilvl w:val="0"/>
          <w:numId w:val="10"/>
        </w:numPr>
        <w:spacing w:after="0" w:line="240" w:lineRule="auto"/>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lastRenderedPageBreak/>
        <w:t>The Indiana Choice Scholarship Program saved the state more than $4 million in its first year of operation. (</w:t>
      </w:r>
      <w:hyperlink r:id="rId20" w:history="1">
        <w:r w:rsidRPr="00FD6540">
          <w:rPr>
            <w:rFonts w:asciiTheme="majorHAnsi" w:eastAsia="MS Mincho" w:hAnsiTheme="majorHAnsi" w:cs="Times New Roman"/>
            <w:color w:val="0000FF"/>
            <w:sz w:val="24"/>
            <w:szCs w:val="24"/>
            <w:u w:val="single"/>
          </w:rPr>
          <w:t>Indiana Department of Education, 2012</w:t>
        </w:r>
      </w:hyperlink>
      <w:r w:rsidRPr="00FD6540">
        <w:rPr>
          <w:rFonts w:asciiTheme="majorHAnsi" w:eastAsia="MS Mincho" w:hAnsiTheme="majorHAnsi" w:cs="Times New Roman"/>
          <w:sz w:val="24"/>
          <w:szCs w:val="24"/>
        </w:rPr>
        <w:t>)</w:t>
      </w:r>
    </w:p>
    <w:p w:rsidR="00E52231" w:rsidRPr="00FD6540" w:rsidRDefault="00E52231" w:rsidP="002841E4">
      <w:pPr>
        <w:spacing w:after="0" w:line="240" w:lineRule="auto"/>
        <w:ind w:left="720"/>
        <w:contextualSpacing/>
        <w:rPr>
          <w:rFonts w:asciiTheme="majorHAnsi" w:eastAsia="MS Mincho" w:hAnsiTheme="majorHAnsi" w:cs="Times New Roman"/>
          <w:b/>
          <w:sz w:val="24"/>
          <w:szCs w:val="24"/>
        </w:rPr>
      </w:pPr>
    </w:p>
    <w:p w:rsidR="00E52231" w:rsidRPr="00FD6540" w:rsidRDefault="00E52231" w:rsidP="002841E4">
      <w:pPr>
        <w:numPr>
          <w:ilvl w:val="0"/>
          <w:numId w:val="10"/>
        </w:numPr>
        <w:spacing w:after="0" w:line="240" w:lineRule="auto"/>
        <w:contextualSpacing/>
        <w:rPr>
          <w:rFonts w:asciiTheme="majorHAnsi" w:eastAsia="MS Mincho" w:hAnsiTheme="majorHAnsi" w:cs="Times New Roman"/>
          <w:b/>
          <w:sz w:val="24"/>
          <w:szCs w:val="24"/>
        </w:rPr>
      </w:pPr>
      <w:r w:rsidRPr="00FD6540">
        <w:rPr>
          <w:rFonts w:asciiTheme="majorHAnsi" w:eastAsia="MS Mincho" w:hAnsiTheme="majorHAnsi" w:cs="Times New Roman"/>
          <w:sz w:val="24"/>
          <w:szCs w:val="24"/>
        </w:rPr>
        <w:t>The Florida Scholarship Tax Credit will save the state more than an estimated $100 million over the course of the next two years. (</w:t>
      </w:r>
      <w:hyperlink r:id="rId21" w:history="1">
        <w:r w:rsidRPr="00FD6540">
          <w:rPr>
            <w:rFonts w:asciiTheme="majorHAnsi" w:eastAsia="MS Mincho" w:hAnsiTheme="majorHAnsi" w:cs="Times New Roman"/>
            <w:color w:val="0000FF"/>
            <w:sz w:val="24"/>
            <w:szCs w:val="24"/>
            <w:u w:val="single"/>
          </w:rPr>
          <w:t>Florida Office of Economic and Demographic Research, 2012, p. 546</w:t>
        </w:r>
      </w:hyperlink>
      <w:r w:rsidRPr="00FD6540">
        <w:rPr>
          <w:rFonts w:asciiTheme="majorHAnsi" w:eastAsia="MS Mincho" w:hAnsiTheme="majorHAnsi" w:cs="Times New Roman"/>
          <w:sz w:val="24"/>
          <w:szCs w:val="24"/>
        </w:rPr>
        <w:t>)</w:t>
      </w:r>
    </w:p>
    <w:p w:rsidR="00E52231" w:rsidRPr="00FD6540" w:rsidRDefault="00E52231" w:rsidP="002841E4">
      <w:pPr>
        <w:spacing w:after="0" w:line="240" w:lineRule="auto"/>
        <w:ind w:hanging="720"/>
        <w:rPr>
          <w:rFonts w:asciiTheme="majorHAnsi" w:eastAsia="Times New Roman" w:hAnsiTheme="majorHAnsi" w:cs="Times New Roman"/>
          <w:noProof/>
          <w:sz w:val="24"/>
          <w:szCs w:val="24"/>
          <w:lang w:bidi="en-US"/>
        </w:rPr>
      </w:pPr>
    </w:p>
    <w:sectPr w:rsidR="00E52231" w:rsidRPr="00FD6540" w:rsidSect="00521FA2">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F80" w:rsidRDefault="00BA7F80" w:rsidP="00DB61B4">
      <w:pPr>
        <w:spacing w:after="0" w:line="240" w:lineRule="auto"/>
      </w:pPr>
      <w:r>
        <w:separator/>
      </w:r>
    </w:p>
  </w:endnote>
  <w:endnote w:type="continuationSeparator" w:id="0">
    <w:p w:rsidR="00BA7F80" w:rsidRDefault="00BA7F80" w:rsidP="00DB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327780"/>
      <w:docPartObj>
        <w:docPartGallery w:val="Page Numbers (Bottom of Page)"/>
        <w:docPartUnique/>
      </w:docPartObj>
    </w:sdtPr>
    <w:sdtEndPr>
      <w:rPr>
        <w:noProof/>
      </w:rPr>
    </w:sdtEndPr>
    <w:sdtContent>
      <w:p w:rsidR="00EE658A" w:rsidRDefault="00EE658A">
        <w:pPr>
          <w:pStyle w:val="Footer"/>
          <w:jc w:val="center"/>
        </w:pPr>
        <w:r>
          <w:fldChar w:fldCharType="begin"/>
        </w:r>
        <w:r>
          <w:instrText xml:space="preserve"> PAGE   \* MERGEFORMAT </w:instrText>
        </w:r>
        <w:r>
          <w:fldChar w:fldCharType="separate"/>
        </w:r>
        <w:r w:rsidR="00546C41">
          <w:rPr>
            <w:noProof/>
          </w:rPr>
          <w:t>2</w:t>
        </w:r>
        <w:r>
          <w:rPr>
            <w:noProof/>
          </w:rPr>
          <w:fldChar w:fldCharType="end"/>
        </w:r>
      </w:p>
    </w:sdtContent>
  </w:sdt>
  <w:p w:rsidR="00EE658A" w:rsidRDefault="00EE6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F80" w:rsidRDefault="00BA7F80" w:rsidP="00DB61B4">
      <w:pPr>
        <w:spacing w:after="0" w:line="240" w:lineRule="auto"/>
      </w:pPr>
      <w:r>
        <w:separator/>
      </w:r>
    </w:p>
  </w:footnote>
  <w:footnote w:type="continuationSeparator" w:id="0">
    <w:p w:rsidR="00BA7F80" w:rsidRDefault="00BA7F80" w:rsidP="00DB61B4">
      <w:pPr>
        <w:spacing w:after="0" w:line="240" w:lineRule="auto"/>
      </w:pPr>
      <w:r>
        <w:continuationSeparator/>
      </w:r>
    </w:p>
  </w:footnote>
  <w:footnote w:id="1">
    <w:p w:rsidR="000C66CE" w:rsidRDefault="004521BC" w:rsidP="004521BC">
      <w:pPr>
        <w:pStyle w:val="FootnoteText"/>
      </w:pPr>
      <w:r>
        <w:rPr>
          <w:rStyle w:val="FootnoteReference"/>
        </w:rPr>
        <w:footnoteRef/>
      </w:r>
      <w:r>
        <w:t xml:space="preserve"> </w:t>
      </w:r>
      <w:r w:rsidR="000C66CE">
        <w:t>McDonald, Dale, PBVM</w:t>
      </w:r>
      <w:r w:rsidR="00E02F5F">
        <w:t>.</w:t>
      </w:r>
      <w:r w:rsidR="000C66CE">
        <w:t xml:space="preserve"> Ph.D. and Margaret Schultz, Annual Statistical Report 2013-2014, National Catholic Educational Association (NCA), 2014</w:t>
      </w:r>
    </w:p>
    <w:p w:rsidR="004521BC" w:rsidRDefault="000C66CE" w:rsidP="004521BC">
      <w:pPr>
        <w:pStyle w:val="FootnoteText"/>
      </w:pPr>
      <w:r w:rsidRPr="000C66CE">
        <w:rPr>
          <w:vertAlign w:val="superscript"/>
        </w:rPr>
        <w:t>2</w:t>
      </w:r>
      <w:r w:rsidRPr="000C66CE">
        <w:t xml:space="preserve"> </w:t>
      </w:r>
      <w:r w:rsidR="004521BC" w:rsidRPr="000C66CE">
        <w:t>John J. Convey, What Do Our Children Know About Their Faith? Results from the ACRE Assessment, NCEA: Washington, DC, 2010</w:t>
      </w:r>
      <w:r w:rsidR="004521BC" w:rsidRPr="0093186D">
        <w:t>.</w:t>
      </w:r>
    </w:p>
  </w:footnote>
  <w:footnote w:id="2">
    <w:p w:rsidR="004521BC" w:rsidRDefault="004521BC" w:rsidP="004521BC">
      <w:pPr>
        <w:pStyle w:val="FootnoteText"/>
      </w:pPr>
      <w:r>
        <w:rPr>
          <w:rStyle w:val="FootnoteReference"/>
        </w:rPr>
        <w:footnoteRef/>
      </w:r>
      <w:r>
        <w:t xml:space="preserve"> </w:t>
      </w:r>
      <w:r w:rsidRPr="0093186D">
        <w:t>Conve</w:t>
      </w:r>
      <w:r>
        <w:t>y, p. 117.</w:t>
      </w:r>
    </w:p>
  </w:footnote>
  <w:footnote w:id="3">
    <w:p w:rsidR="00521FA2" w:rsidRDefault="00521FA2" w:rsidP="00521FA2">
      <w:pPr>
        <w:pStyle w:val="FootnoteText"/>
      </w:pPr>
      <w:r>
        <w:rPr>
          <w:rStyle w:val="FootnoteReference"/>
        </w:rPr>
        <w:footnoteRef/>
      </w:r>
      <w:r>
        <w:t xml:space="preserve"> </w:t>
      </w:r>
      <w:r w:rsidR="008812CD" w:rsidRPr="008812CD">
        <w:t>Marks, G. (2009). Accounting for school-sector differences in university entrance performance. Australian Journal of Education, 53, 19-38.</w:t>
      </w:r>
    </w:p>
  </w:footnote>
  <w:footnote w:id="4">
    <w:p w:rsidR="00521FA2" w:rsidRDefault="00521FA2">
      <w:pPr>
        <w:pStyle w:val="FootnoteText"/>
      </w:pPr>
      <w:r>
        <w:rPr>
          <w:rStyle w:val="FootnoteReference"/>
        </w:rPr>
        <w:footnoteRef/>
      </w:r>
      <w:proofErr w:type="spellStart"/>
      <w:r w:rsidR="006A3898" w:rsidRPr="006A3898">
        <w:t>Bryk</w:t>
      </w:r>
      <w:proofErr w:type="spellEnd"/>
      <w:r w:rsidR="006A3898" w:rsidRPr="006A3898">
        <w:t>, A.S., Lee, V.E., &amp; Holland, P.B. (1993). Catholic Schools and the Common Good. Boston: Harvard University Press</w:t>
      </w:r>
      <w:r w:rsidR="006A3898">
        <w:t>.</w:t>
      </w:r>
    </w:p>
  </w:footnote>
  <w:footnote w:id="5">
    <w:p w:rsidR="00521FA2" w:rsidRDefault="00521FA2">
      <w:pPr>
        <w:pStyle w:val="FootnoteText"/>
      </w:pPr>
      <w:r>
        <w:rPr>
          <w:rStyle w:val="FootnoteReference"/>
        </w:rPr>
        <w:footnoteRef/>
      </w:r>
      <w:r>
        <w:t xml:space="preserve"> </w:t>
      </w:r>
      <w:r w:rsidR="00415EFD">
        <w:t xml:space="preserve">Ibid. </w:t>
      </w:r>
    </w:p>
  </w:footnote>
  <w:footnote w:id="6">
    <w:p w:rsidR="004D38A0" w:rsidRDefault="004D38A0">
      <w:pPr>
        <w:pStyle w:val="FootnoteText"/>
      </w:pPr>
      <w:r>
        <w:rPr>
          <w:rStyle w:val="FootnoteReference"/>
        </w:rPr>
        <w:footnoteRef/>
      </w:r>
      <w:r>
        <w:t xml:space="preserve"> </w:t>
      </w:r>
      <w:proofErr w:type="spellStart"/>
      <w:r w:rsidR="008812CD" w:rsidRPr="008812CD">
        <w:t>Jeynes</w:t>
      </w:r>
      <w:proofErr w:type="spellEnd"/>
      <w:r w:rsidR="008812CD" w:rsidRPr="008812CD">
        <w:t>, W.H. (2007). Religion, Intact Families, &amp; the Achievement Gap. Interdisciplinary Journal of Research on Religion, 3, 1-24; Marks, H.M., and Lee V.E. (1989). National Assessment of Educational Proficiency in Reading 1985-1986: Catholic and Public Schools Compared. Washington, DC: National Catholic Educational Association.</w:t>
      </w:r>
    </w:p>
  </w:footnote>
  <w:footnote w:id="7">
    <w:p w:rsidR="00431F96" w:rsidRDefault="00431F96">
      <w:pPr>
        <w:pStyle w:val="FootnoteText"/>
      </w:pPr>
      <w:r>
        <w:rPr>
          <w:rStyle w:val="FootnoteReference"/>
        </w:rPr>
        <w:footnoteRef/>
      </w:r>
      <w:r w:rsidRPr="00E52231">
        <w:t xml:space="preserve"> Coleman, J., Hoffman, T., &amp; Kilgore, S. (1982). </w:t>
      </w:r>
      <w:r w:rsidRPr="00431F96">
        <w:t>High School Achievement: Catholic and Public Schools Compared. NY: Basic Books; Sander, W. (1996).Catholic Schools: Private and Social Effects. Boston: Kluwer Academic.</w:t>
      </w:r>
    </w:p>
  </w:footnote>
  <w:footnote w:id="8">
    <w:p w:rsidR="00431F96" w:rsidRDefault="00431F96">
      <w:pPr>
        <w:pStyle w:val="FootnoteText"/>
      </w:pPr>
      <w:r>
        <w:rPr>
          <w:rStyle w:val="FootnoteReference"/>
        </w:rPr>
        <w:footnoteRef/>
      </w:r>
      <w:r>
        <w:t xml:space="preserve"> </w:t>
      </w:r>
      <w:r w:rsidRPr="00431F96">
        <w:t xml:space="preserve">Covay, E., and </w:t>
      </w:r>
      <w:proofErr w:type="spellStart"/>
      <w:r w:rsidRPr="00431F96">
        <w:t>Carbonaro</w:t>
      </w:r>
      <w:proofErr w:type="spellEnd"/>
      <w:r w:rsidRPr="00431F96">
        <w:t xml:space="preserve"> W. (2010). After the Bell: Participation in Extra-Curricular Activities, Classroom Behavior, and Academic Achievement. Sociology of Education, 83(1), 20-45.</w:t>
      </w:r>
    </w:p>
  </w:footnote>
  <w:footnote w:id="9">
    <w:p w:rsidR="005D2590" w:rsidRDefault="005D2590">
      <w:pPr>
        <w:pStyle w:val="FootnoteText"/>
      </w:pPr>
      <w:r>
        <w:rPr>
          <w:rStyle w:val="FootnoteReference"/>
        </w:rPr>
        <w:footnoteRef/>
      </w:r>
      <w:r>
        <w:t xml:space="preserve"> </w:t>
      </w:r>
      <w:r w:rsidRPr="005D2590">
        <w:t xml:space="preserve"> Jeffrey Grogger and Derek A. Neal; "Further Evidence of the Effects of Catholic Secondary Schooling,” Brookings-Wharton Papers on Urban Affairs, 2000, pp. 151-93.</w:t>
      </w:r>
    </w:p>
  </w:footnote>
  <w:footnote w:id="10">
    <w:p w:rsidR="005D2590" w:rsidRDefault="005D2590">
      <w:pPr>
        <w:pStyle w:val="FootnoteText"/>
      </w:pPr>
      <w:r>
        <w:rPr>
          <w:rStyle w:val="FootnoteReference"/>
        </w:rPr>
        <w:footnoteRef/>
      </w:r>
      <w:r>
        <w:t xml:space="preserve"> </w:t>
      </w:r>
      <w:r w:rsidRPr="005D2590">
        <w:t xml:space="preserve">  Derek A. Neal; "Measuring Catholic School Performance." Public Interest, 1997, (127), pp. 81; Derek A. Neal; "The Effects of Catholic Secondary Schooling on Educational </w:t>
      </w:r>
      <w:proofErr w:type="spellStart"/>
      <w:r w:rsidRPr="005D2590">
        <w:t>Achievement."Journal</w:t>
      </w:r>
      <w:proofErr w:type="spellEnd"/>
      <w:r w:rsidRPr="005D2590">
        <w:t xml:space="preserve"> of Labor Economics, 1997, 15(1, Part 1), pp. 98-123; Evans, W.N. &amp; Schwab, R.M. (Nov. 1995). “Finishing High School and Starting College: Do Catholic Schools Make a Difference?” Quarterly Journal of Economic, vol. 110, no. 4, 941-974.</w:t>
      </w:r>
    </w:p>
  </w:footnote>
  <w:footnote w:id="11">
    <w:p w:rsidR="005D2590" w:rsidRDefault="005D2590">
      <w:pPr>
        <w:pStyle w:val="FootnoteText"/>
      </w:pPr>
      <w:r>
        <w:rPr>
          <w:rStyle w:val="FootnoteReference"/>
        </w:rPr>
        <w:footnoteRef/>
      </w:r>
      <w:r>
        <w:t xml:space="preserve"> </w:t>
      </w:r>
      <w:r w:rsidRPr="005D2590">
        <w:t>York, D. (1996). The academic achievement of African Americans in Catholic Schools: A Review of the Literature. In J.J. Irvine &amp; M. Foster (Eds.), Growing Up African American in Catholic Schools (pp.11-46). New York: Teachers College Press.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32DA"/>
    <w:multiLevelType w:val="hybridMultilevel"/>
    <w:tmpl w:val="1482FB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8B05E7C"/>
    <w:multiLevelType w:val="hybridMultilevel"/>
    <w:tmpl w:val="FFB204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28F87462"/>
    <w:multiLevelType w:val="hybridMultilevel"/>
    <w:tmpl w:val="5CAEE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811DC5"/>
    <w:multiLevelType w:val="hybridMultilevel"/>
    <w:tmpl w:val="3B7A1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50B8C"/>
    <w:multiLevelType w:val="hybridMultilevel"/>
    <w:tmpl w:val="38AE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C7859"/>
    <w:multiLevelType w:val="hybridMultilevel"/>
    <w:tmpl w:val="6EF2AE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46FE4BFD"/>
    <w:multiLevelType w:val="hybridMultilevel"/>
    <w:tmpl w:val="D5EEB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FB22ED"/>
    <w:multiLevelType w:val="hybridMultilevel"/>
    <w:tmpl w:val="E7D4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B4B12"/>
    <w:multiLevelType w:val="multilevel"/>
    <w:tmpl w:val="88DA8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5B745A"/>
    <w:multiLevelType w:val="hybridMultilevel"/>
    <w:tmpl w:val="04208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F1ECE"/>
    <w:multiLevelType w:val="hybridMultilevel"/>
    <w:tmpl w:val="EEE2D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A8F641C"/>
    <w:multiLevelType w:val="hybridMultilevel"/>
    <w:tmpl w:val="51CC6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4665B"/>
    <w:multiLevelType w:val="hybridMultilevel"/>
    <w:tmpl w:val="399C6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FE2774"/>
    <w:multiLevelType w:val="hybridMultilevel"/>
    <w:tmpl w:val="A1468F1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6395105C"/>
    <w:multiLevelType w:val="hybridMultilevel"/>
    <w:tmpl w:val="20E4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076BE4"/>
    <w:multiLevelType w:val="hybridMultilevel"/>
    <w:tmpl w:val="D110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969FC"/>
    <w:multiLevelType w:val="hybridMultilevel"/>
    <w:tmpl w:val="21D8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7253D"/>
    <w:multiLevelType w:val="hybridMultilevel"/>
    <w:tmpl w:val="581E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A75B02"/>
    <w:multiLevelType w:val="hybridMultilevel"/>
    <w:tmpl w:val="4C48D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3"/>
  </w:num>
  <w:num w:numId="4">
    <w:abstractNumId w:val="12"/>
  </w:num>
  <w:num w:numId="5">
    <w:abstractNumId w:val="13"/>
  </w:num>
  <w:num w:numId="6">
    <w:abstractNumId w:val="18"/>
  </w:num>
  <w:num w:numId="7">
    <w:abstractNumId w:val="2"/>
  </w:num>
  <w:num w:numId="8">
    <w:abstractNumId w:val="10"/>
  </w:num>
  <w:num w:numId="9">
    <w:abstractNumId w:val="5"/>
  </w:num>
  <w:num w:numId="10">
    <w:abstractNumId w:val="6"/>
  </w:num>
  <w:num w:numId="11">
    <w:abstractNumId w:val="8"/>
  </w:num>
  <w:num w:numId="12">
    <w:abstractNumId w:val="1"/>
  </w:num>
  <w:num w:numId="13">
    <w:abstractNumId w:val="4"/>
  </w:num>
  <w:num w:numId="14">
    <w:abstractNumId w:val="16"/>
  </w:num>
  <w:num w:numId="15">
    <w:abstractNumId w:val="7"/>
  </w:num>
  <w:num w:numId="16">
    <w:abstractNumId w:val="14"/>
  </w:num>
  <w:num w:numId="17">
    <w:abstractNumId w:val="9"/>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F51"/>
    <w:rsid w:val="00002F12"/>
    <w:rsid w:val="000146FD"/>
    <w:rsid w:val="00020666"/>
    <w:rsid w:val="000764FB"/>
    <w:rsid w:val="000C66CE"/>
    <w:rsid w:val="00113CAF"/>
    <w:rsid w:val="00136CBD"/>
    <w:rsid w:val="001473E7"/>
    <w:rsid w:val="001842E3"/>
    <w:rsid w:val="001A72B6"/>
    <w:rsid w:val="001F3705"/>
    <w:rsid w:val="002621FA"/>
    <w:rsid w:val="002841E4"/>
    <w:rsid w:val="002D4389"/>
    <w:rsid w:val="00321422"/>
    <w:rsid w:val="003915B4"/>
    <w:rsid w:val="004061EC"/>
    <w:rsid w:val="00415EFD"/>
    <w:rsid w:val="00431F96"/>
    <w:rsid w:val="004521BC"/>
    <w:rsid w:val="00486890"/>
    <w:rsid w:val="004B0669"/>
    <w:rsid w:val="004B5144"/>
    <w:rsid w:val="004D38A0"/>
    <w:rsid w:val="00504AAF"/>
    <w:rsid w:val="00521FA2"/>
    <w:rsid w:val="00522C5C"/>
    <w:rsid w:val="00546C41"/>
    <w:rsid w:val="005D2590"/>
    <w:rsid w:val="005D454F"/>
    <w:rsid w:val="006322AF"/>
    <w:rsid w:val="0065621A"/>
    <w:rsid w:val="00666A34"/>
    <w:rsid w:val="006A3898"/>
    <w:rsid w:val="006C319B"/>
    <w:rsid w:val="006D3F76"/>
    <w:rsid w:val="006D4DEE"/>
    <w:rsid w:val="00732A21"/>
    <w:rsid w:val="0074115F"/>
    <w:rsid w:val="007561A7"/>
    <w:rsid w:val="00765C0C"/>
    <w:rsid w:val="0078717E"/>
    <w:rsid w:val="007A2BCC"/>
    <w:rsid w:val="008812CD"/>
    <w:rsid w:val="008A7063"/>
    <w:rsid w:val="009302EF"/>
    <w:rsid w:val="0093186D"/>
    <w:rsid w:val="00932E5D"/>
    <w:rsid w:val="00936158"/>
    <w:rsid w:val="00982459"/>
    <w:rsid w:val="009E3DCB"/>
    <w:rsid w:val="00A00FB0"/>
    <w:rsid w:val="00A24E2C"/>
    <w:rsid w:val="00A62F51"/>
    <w:rsid w:val="00AA405B"/>
    <w:rsid w:val="00B00BBE"/>
    <w:rsid w:val="00B814F6"/>
    <w:rsid w:val="00B93192"/>
    <w:rsid w:val="00BA7F80"/>
    <w:rsid w:val="00CD0184"/>
    <w:rsid w:val="00D751CC"/>
    <w:rsid w:val="00DB61B4"/>
    <w:rsid w:val="00E02F5F"/>
    <w:rsid w:val="00E52231"/>
    <w:rsid w:val="00E563AE"/>
    <w:rsid w:val="00E64023"/>
    <w:rsid w:val="00E87671"/>
    <w:rsid w:val="00EC6D3E"/>
    <w:rsid w:val="00EE658A"/>
    <w:rsid w:val="00F31FFC"/>
    <w:rsid w:val="00F4591F"/>
    <w:rsid w:val="00FA33D8"/>
    <w:rsid w:val="00FC1589"/>
    <w:rsid w:val="00FD6540"/>
    <w:rsid w:val="00FF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C0F9"/>
  <w15:docId w15:val="{284A658B-4DB9-4530-8E7B-1D361E24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F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F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B61B4"/>
    <w:pPr>
      <w:ind w:left="720"/>
      <w:contextualSpacing/>
    </w:pPr>
  </w:style>
  <w:style w:type="paragraph" w:styleId="FootnoteText">
    <w:name w:val="footnote text"/>
    <w:basedOn w:val="Normal"/>
    <w:link w:val="FootnoteTextChar"/>
    <w:uiPriority w:val="99"/>
    <w:semiHidden/>
    <w:unhideWhenUsed/>
    <w:rsid w:val="00521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FA2"/>
    <w:rPr>
      <w:sz w:val="20"/>
      <w:szCs w:val="20"/>
    </w:rPr>
  </w:style>
  <w:style w:type="character" w:styleId="FootnoteReference">
    <w:name w:val="footnote reference"/>
    <w:basedOn w:val="DefaultParagraphFont"/>
    <w:uiPriority w:val="99"/>
    <w:semiHidden/>
    <w:unhideWhenUsed/>
    <w:rsid w:val="00521FA2"/>
    <w:rPr>
      <w:vertAlign w:val="superscript"/>
    </w:rPr>
  </w:style>
  <w:style w:type="paragraph" w:styleId="Header">
    <w:name w:val="header"/>
    <w:basedOn w:val="Normal"/>
    <w:link w:val="HeaderChar"/>
    <w:uiPriority w:val="99"/>
    <w:unhideWhenUsed/>
    <w:rsid w:val="00EE6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58A"/>
  </w:style>
  <w:style w:type="paragraph" w:styleId="Footer">
    <w:name w:val="footer"/>
    <w:basedOn w:val="Normal"/>
    <w:link w:val="FooterChar"/>
    <w:uiPriority w:val="99"/>
    <w:unhideWhenUsed/>
    <w:rsid w:val="00EE6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4017">
      <w:bodyDiv w:val="1"/>
      <w:marLeft w:val="0"/>
      <w:marRight w:val="0"/>
      <w:marTop w:val="0"/>
      <w:marBottom w:val="0"/>
      <w:divBdr>
        <w:top w:val="none" w:sz="0" w:space="0" w:color="auto"/>
        <w:left w:val="none" w:sz="0" w:space="0" w:color="auto"/>
        <w:bottom w:val="none" w:sz="0" w:space="0" w:color="auto"/>
        <w:right w:val="none" w:sz="0" w:space="0" w:color="auto"/>
      </w:divBdr>
    </w:div>
    <w:div w:id="17583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spe.org/publications_files/727_OP32.pdf" TargetMode="External"/><Relationship Id="rId13" Type="http://schemas.openxmlformats.org/officeDocument/2006/relationships/hyperlink" Target="http://www.jstor.org/stable/pdfplus/2535316.pdf?acceptTC=true" TargetMode="External"/><Relationship Id="rId18" Type="http://schemas.openxmlformats.org/officeDocument/2006/relationships/hyperlink" Target="http://s3.amazonaws.com/assets.allianceforschoolchoice.com/admin_assets/uploads/167/School%20Choice%20Yearbook%202012-13.pdf" TargetMode="External"/><Relationship Id="rId3" Type="http://schemas.openxmlformats.org/officeDocument/2006/relationships/styles" Target="styles.xml"/><Relationship Id="rId21" Type="http://schemas.openxmlformats.org/officeDocument/2006/relationships/hyperlink" Target="http://edr.state.fl.us/Content/conferences/revenueimpact/archives/2012/pdf/impact0316.pdf" TargetMode="External"/><Relationship Id="rId7" Type="http://schemas.openxmlformats.org/officeDocument/2006/relationships/endnotes" Target="endnotes.xml"/><Relationship Id="rId12" Type="http://schemas.openxmlformats.org/officeDocument/2006/relationships/hyperlink" Target="http://www.eric.ed.gov/PDFS/ED508626.pdf" TargetMode="External"/><Relationship Id="rId17" Type="http://schemas.openxmlformats.org/officeDocument/2006/relationships/hyperlink" Target="http://www.eric.ed.gov/PDFS/ED518595.pdf" TargetMode="External"/><Relationship Id="rId2" Type="http://schemas.openxmlformats.org/officeDocument/2006/relationships/numbering" Target="numbering.xml"/><Relationship Id="rId16" Type="http://schemas.openxmlformats.org/officeDocument/2006/relationships/hyperlink" Target="http://ies.ed.gov/ncee/pubs/20104018/pdf/20104018.pdf" TargetMode="External"/><Relationship Id="rId20" Type="http://schemas.openxmlformats.org/officeDocument/2006/relationships/hyperlink" Target="http://www.doe.in.gov/sites/default/files/finance/choice-savings-distribution-march-20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c.ed.gov/PDFS/ED508626.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ark.edu/ua/der/SCDP/Milwaukee_Eval/Report_36.pdf" TargetMode="External"/><Relationship Id="rId23" Type="http://schemas.openxmlformats.org/officeDocument/2006/relationships/fontTable" Target="fontTable.xml"/><Relationship Id="rId10" Type="http://schemas.openxmlformats.org/officeDocument/2006/relationships/hyperlink" Target="http://www.jstor.org/stable/pdfplus/2535316.pdf?acceptTC=true" TargetMode="External"/><Relationship Id="rId19" Type="http://schemas.openxmlformats.org/officeDocument/2006/relationships/hyperlink" Target="http://s3.amazonaws.com/assets.allianceforschoolchoice.com/admin_assets/uploads/167/School%20Choice%20Yearbook%202012-13.pdf" TargetMode="External"/><Relationship Id="rId4" Type="http://schemas.openxmlformats.org/officeDocument/2006/relationships/settings" Target="settings.xml"/><Relationship Id="rId9" Type="http://schemas.openxmlformats.org/officeDocument/2006/relationships/hyperlink" Target="http://www.jstor.org/stable/146264" TargetMode="External"/><Relationship Id="rId14" Type="http://schemas.openxmlformats.org/officeDocument/2006/relationships/hyperlink" Target="http://www.stlouisfed.org/publications/pub_assets/pdf/re/2012/d/high_schools.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68BBAE3-B92E-4099-9F6D-3C59C671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OLQP</dc:creator>
  <cp:lastModifiedBy>Jennifer Daniels</cp:lastModifiedBy>
  <cp:revision>72</cp:revision>
  <dcterms:created xsi:type="dcterms:W3CDTF">2014-10-19T13:29:00Z</dcterms:created>
  <dcterms:modified xsi:type="dcterms:W3CDTF">2018-01-25T13:44:00Z</dcterms:modified>
</cp:coreProperties>
</file>