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17" w:rsidRPr="00CE6C17" w:rsidRDefault="00CE6C17" w:rsidP="00CE6C1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CE6C17">
        <w:rPr>
          <w:rFonts w:ascii="Arial" w:hAnsi="Arial" w:cs="Arial"/>
          <w:b/>
          <w:sz w:val="28"/>
          <w:szCs w:val="28"/>
          <w:u w:val="single"/>
        </w:rPr>
        <w:t>Life Cycles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Pr="00CE6C17" w:rsidRDefault="00CE6C17" w:rsidP="00CE6C1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C17">
        <w:rPr>
          <w:rFonts w:ascii="Arial" w:hAnsi="Arial" w:cs="Arial"/>
          <w:b/>
          <w:sz w:val="24"/>
          <w:szCs w:val="24"/>
          <w:u w:val="single"/>
        </w:rPr>
        <w:t>Wellness, Health, and Illness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Pr="00CE6C17" w:rsidRDefault="00A64A4E" w:rsidP="00CE6C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C56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82880" distR="182880" simplePos="0" relativeHeight="251659264" behindDoc="1" locked="0" layoutInCell="0" allowOverlap="1" wp14:anchorId="158AAB56" wp14:editId="03DBAD8E">
                <wp:simplePos x="0" y="0"/>
                <wp:positionH relativeFrom="margin">
                  <wp:posOffset>3116580</wp:posOffset>
                </wp:positionH>
                <wp:positionV relativeFrom="margin">
                  <wp:posOffset>821055</wp:posOffset>
                </wp:positionV>
                <wp:extent cx="3467100" cy="2070735"/>
                <wp:effectExtent l="0" t="0" r="114300" b="120015"/>
                <wp:wrapSquare wrapText="bothSides"/>
                <wp:docPr id="3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07073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64A4E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  <w:t>Values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0C568B">
                              <w:rPr>
                                <w:iCs/>
                                <w:color w:val="4F81BD" w:themeColor="accent1"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>Physical spiritual,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="00A64A4E" w:rsidRPr="00A64A4E">
                              <w:rPr>
                                <w:i/>
                                <w:iCs/>
                                <w:szCs w:val="28"/>
                              </w:rPr>
                              <w:t>Reconciliation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 xml:space="preserve">   emotional, mental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Humanness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 xml:space="preserve">   social wellness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Wholistic approach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Illness prevention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Reverence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Care for ill members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Prudence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Adequate and reasonable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Consultation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 xml:space="preserve">   care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Communication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Personal and communal</w:t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</w: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>Stewardship</w:t>
                            </w:r>
                          </w:p>
                          <w:p w:rsidR="000C568B" w:rsidRPr="00A64A4E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64A4E">
                              <w:rPr>
                                <w:i/>
                                <w:iCs/>
                                <w:szCs w:val="28"/>
                              </w:rPr>
                              <w:tab/>
                              <w:t xml:space="preserve">   responsibility</w:t>
                            </w:r>
                          </w:p>
                          <w:p w:rsidR="000C568B" w:rsidRPr="000C568B" w:rsidRDefault="000C568B" w:rsidP="000C568B">
                            <w:pPr>
                              <w:pBdr>
                                <w:top w:val="single" w:sz="4" w:space="9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245.4pt;margin-top:64.65pt;width:273pt;height:163.05pt;z-index:-251657216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" o:allowincell="f" filled="f" strokecolor="black [3213]" strokeweight="1.5pt">
                <v:shadow on="t" type="perspective" color="#2f6ebe" opacity=".5" offset="6pt,6pt" matrix="66191f,,,66191f"/>
                <v:textbox inset="0,0,0,0">
                  <w:txbxContent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rFonts w:ascii="Arial" w:hAnsi="Arial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</w:pPr>
                      <w:r w:rsidRPr="00A64A4E">
                        <w:rPr>
                          <w:rFonts w:ascii="Arial" w:hAnsi="Arial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  <w:t>Values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0C568B">
                        <w:rPr>
                          <w:iCs/>
                          <w:color w:val="4F81BD" w:themeColor="accent1"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>Physical spiritual,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="00A64A4E" w:rsidRPr="00A64A4E">
                        <w:rPr>
                          <w:i/>
                          <w:iCs/>
                          <w:szCs w:val="28"/>
                        </w:rPr>
                        <w:t>Reconciliation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 xml:space="preserve">   emotional, mental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Humanness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 xml:space="preserve">   social wellness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Wholistic approach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Illness prevention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Reverence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Care for ill members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Prudence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Adequate and reasonable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Consultation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 xml:space="preserve">   care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Communication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Personal and communal</w:t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</w: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>Stewardship</w:t>
                      </w:r>
                    </w:p>
                    <w:p w:rsidR="000C568B" w:rsidRPr="00A64A4E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A64A4E">
                        <w:rPr>
                          <w:i/>
                          <w:iCs/>
                          <w:szCs w:val="28"/>
                        </w:rPr>
                        <w:tab/>
                        <w:t xml:space="preserve">   responsibility</w:t>
                      </w:r>
                    </w:p>
                    <w:p w:rsidR="000C568B" w:rsidRPr="000C568B" w:rsidRDefault="000C568B" w:rsidP="000C568B">
                      <w:pPr>
                        <w:pBdr>
                          <w:top w:val="single" w:sz="4" w:space="9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E6C17" w:rsidRPr="00CE6C17">
        <w:rPr>
          <w:rFonts w:ascii="Arial" w:hAnsi="Arial" w:cs="Arial"/>
          <w:b/>
          <w:sz w:val="24"/>
          <w:szCs w:val="24"/>
          <w:u w:val="single"/>
        </w:rPr>
        <w:t>Policy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major grounding for participation in the mission of unity and reconciliation is each member’s reconciliation with her own humanity.  This involves a wholistic approach to health and illness and the development of attitudes and lifestyles conducive to wellness.  The well-being of the </w:t>
      </w:r>
      <w:r w:rsidR="0034658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ongregation is influenced by the health of each individual member and by health </w:t>
      </w:r>
      <w:r w:rsidRPr="00A64A4E">
        <w:rPr>
          <w:rFonts w:ascii="Arial" w:hAnsi="Arial" w:cs="Arial"/>
          <w:sz w:val="24"/>
          <w:szCs w:val="24"/>
        </w:rPr>
        <w:t>i</w:t>
      </w:r>
      <w:r w:rsidR="00A64A4E" w:rsidRPr="00A64A4E">
        <w:rPr>
          <w:rFonts w:ascii="Arial" w:hAnsi="Arial" w:cs="Arial"/>
          <w:sz w:val="24"/>
          <w:szCs w:val="24"/>
        </w:rPr>
        <w:t>nterrelation</w:t>
      </w:r>
      <w:r>
        <w:rPr>
          <w:rFonts w:ascii="Arial" w:hAnsi="Arial" w:cs="Arial"/>
          <w:sz w:val="24"/>
          <w:szCs w:val="24"/>
        </w:rPr>
        <w:t xml:space="preserve"> dynamics among all members.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sister enters into medical treatments with an awareness of the need to</w:t>
      </w:r>
      <w:r w:rsidR="00A336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A3366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lance her individual rights and those of the </w:t>
      </w:r>
      <w:r w:rsidR="0034658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ongregation.  Since health care services ultimately require the financial resources of the</w:t>
      </w:r>
      <w:r w:rsidR="00A33667">
        <w:rPr>
          <w:rFonts w:ascii="Arial" w:hAnsi="Arial" w:cs="Arial"/>
          <w:sz w:val="24"/>
          <w:szCs w:val="24"/>
        </w:rPr>
        <w:t xml:space="preserve"> </w:t>
      </w:r>
      <w:r w:rsidR="0034658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ongregation, a </w:t>
      </w:r>
      <w:r w:rsidR="003465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ister consults her Area Councilor before initiating treatments wherein extraordinary costs are to be incurred (e.g. </w:t>
      </w:r>
      <w:r w:rsidR="00A64A4E">
        <w:rPr>
          <w:rFonts w:ascii="Arial" w:hAnsi="Arial" w:cs="Arial"/>
          <w:sz w:val="24"/>
          <w:szCs w:val="24"/>
        </w:rPr>
        <w:t>Ophthalmology</w:t>
      </w:r>
      <w:r>
        <w:rPr>
          <w:rFonts w:ascii="Arial" w:hAnsi="Arial" w:cs="Arial"/>
          <w:sz w:val="24"/>
          <w:szCs w:val="24"/>
        </w:rPr>
        <w:t>, Audiology, Mental Health Services and Dentistry).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right to privacy regarding one’s health and confidentiality in the process of illness management is basic.  The right to privacy does not eliminate the </w:t>
      </w:r>
      <w:r w:rsidR="003465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ister’s preference to share information.  When health issues affect the lives of others (e.g. local communities</w:t>
      </w:r>
      <w:r w:rsidR="00A3366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these members may need to be consulted or informed.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Pr="00CE6C17" w:rsidRDefault="00CE6C17" w:rsidP="00CE6C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E6C17">
        <w:rPr>
          <w:rFonts w:ascii="Arial" w:hAnsi="Arial" w:cs="Arial"/>
          <w:b/>
          <w:sz w:val="24"/>
          <w:szCs w:val="24"/>
          <w:u w:val="single"/>
        </w:rPr>
        <w:t>Procedures</w:t>
      </w: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E6C17" w:rsidRDefault="00CE6C17" w:rsidP="00CE6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members of </w:t>
      </w:r>
      <w:r w:rsidR="0034658D">
        <w:rPr>
          <w:rFonts w:ascii="Arial" w:hAnsi="Arial" w:cs="Arial"/>
          <w:sz w:val="24"/>
          <w:szCs w:val="24"/>
        </w:rPr>
        <w:t>the c</w:t>
      </w:r>
      <w:r>
        <w:rPr>
          <w:rFonts w:ascii="Arial" w:hAnsi="Arial" w:cs="Arial"/>
          <w:sz w:val="24"/>
          <w:szCs w:val="24"/>
        </w:rPr>
        <w:t>ongregation are encouraged:</w:t>
      </w:r>
    </w:p>
    <w:p w:rsidR="00CE6C17" w:rsidRPr="00CE6C17" w:rsidRDefault="00CE6C17" w:rsidP="00CE6C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E6C17">
        <w:rPr>
          <w:rFonts w:ascii="Arial" w:hAnsi="Arial" w:cs="Arial"/>
          <w:sz w:val="24"/>
          <w:szCs w:val="24"/>
        </w:rPr>
        <w:t>o schedule regular physical examinations with a primary care physician and to undergo routine screenings (e.g. mammogram, pap smear, colorectal exam) at intervals appropriate to their age and health.  The services of a specialist are engaged on the primary care physician’s recommendation and after consultation with a Congregational Health Care Coordinator.</w:t>
      </w:r>
    </w:p>
    <w:p w:rsidR="00CE6C17" w:rsidRPr="00CE6C17" w:rsidRDefault="00CE6C17" w:rsidP="00CE6C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E6C17">
        <w:rPr>
          <w:rFonts w:ascii="Arial" w:hAnsi="Arial" w:cs="Arial"/>
          <w:sz w:val="24"/>
          <w:szCs w:val="24"/>
        </w:rPr>
        <w:t>To maintain information regarding primary care provider, current medications, allergies, and medical conditions in a way that such may be easily available in care of an emergency.</w:t>
      </w:r>
    </w:p>
    <w:p w:rsidR="00CE6C17" w:rsidRPr="00CE6C17" w:rsidRDefault="00CE6C17" w:rsidP="00CE6C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E6C17">
        <w:rPr>
          <w:rFonts w:ascii="Arial" w:hAnsi="Arial" w:cs="Arial"/>
          <w:sz w:val="24"/>
          <w:szCs w:val="24"/>
        </w:rPr>
        <w:t>To balance life’s daily commitments with regular physical exercise, leisure, and vacation.</w:t>
      </w:r>
    </w:p>
    <w:p w:rsidR="00CE6C17" w:rsidRPr="00CE6C17" w:rsidRDefault="00CE6C17" w:rsidP="00CE6C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E6C17">
        <w:rPr>
          <w:rFonts w:ascii="Arial" w:hAnsi="Arial" w:cs="Arial"/>
          <w:sz w:val="24"/>
          <w:szCs w:val="24"/>
        </w:rPr>
        <w:t>To avail themselves of annual retreat, opportunities for renewal, and spiritual direction.</w:t>
      </w:r>
    </w:p>
    <w:p w:rsidR="00CE6C17" w:rsidRPr="00CE6C17" w:rsidRDefault="00CE6C17" w:rsidP="00CE6C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E6C17">
        <w:rPr>
          <w:rFonts w:ascii="Arial" w:hAnsi="Arial" w:cs="Arial"/>
          <w:sz w:val="24"/>
          <w:szCs w:val="24"/>
        </w:rPr>
        <w:t xml:space="preserve">To respond to a personally recognized need or the referral of another for mental health therapy or counseling after consultation with one’s Area Councilor and Health Care Coordinator.  A competent therapist/counselor will be </w:t>
      </w:r>
      <w:r w:rsidRPr="00A64A4E">
        <w:rPr>
          <w:rFonts w:ascii="Arial" w:hAnsi="Arial" w:cs="Arial"/>
          <w:sz w:val="24"/>
          <w:szCs w:val="24"/>
        </w:rPr>
        <w:t xml:space="preserve">chosen </w:t>
      </w:r>
      <w:r w:rsidR="00A64A4E" w:rsidRPr="00A64A4E">
        <w:rPr>
          <w:rFonts w:ascii="Arial" w:hAnsi="Arial" w:cs="Arial"/>
          <w:sz w:val="24"/>
          <w:szCs w:val="24"/>
        </w:rPr>
        <w:t>by</w:t>
      </w:r>
      <w:r w:rsidRPr="00CE6C17">
        <w:rPr>
          <w:rFonts w:ascii="Arial" w:hAnsi="Arial" w:cs="Arial"/>
          <w:sz w:val="24"/>
          <w:szCs w:val="24"/>
        </w:rPr>
        <w:t xml:space="preserve"> mutual agreem</w:t>
      </w:r>
      <w:r w:rsidR="00A33667">
        <w:rPr>
          <w:rFonts w:ascii="Arial" w:hAnsi="Arial" w:cs="Arial"/>
          <w:sz w:val="24"/>
          <w:szCs w:val="24"/>
        </w:rPr>
        <w:t>ent</w:t>
      </w:r>
      <w:r w:rsidRPr="00CE6C17">
        <w:rPr>
          <w:rFonts w:ascii="Arial" w:hAnsi="Arial" w:cs="Arial"/>
          <w:sz w:val="24"/>
          <w:szCs w:val="24"/>
        </w:rPr>
        <w:t xml:space="preserve"> between the Sister and Area Councilor.  Specific treatment plans and time lines will be developed by the Sister and therapist and periodically reviewed by the Health Care Coordinator.</w:t>
      </w:r>
    </w:p>
    <w:sectPr w:rsidR="00CE6C17" w:rsidRPr="00CE6C17" w:rsidSect="00A64A4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90E"/>
    <w:multiLevelType w:val="hybridMultilevel"/>
    <w:tmpl w:val="27B0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17"/>
    <w:rsid w:val="000C568B"/>
    <w:rsid w:val="0034658D"/>
    <w:rsid w:val="00A33667"/>
    <w:rsid w:val="00A64A4E"/>
    <w:rsid w:val="00BA4C21"/>
    <w:rsid w:val="00CE6C17"/>
    <w:rsid w:val="00E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4571-79A2-8F4D-AF7F-7999C771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Dayna Larson Hurst</cp:lastModifiedBy>
  <cp:revision>2</cp:revision>
  <cp:lastPrinted>2013-02-22T19:28:00Z</cp:lastPrinted>
  <dcterms:created xsi:type="dcterms:W3CDTF">2016-02-09T23:31:00Z</dcterms:created>
  <dcterms:modified xsi:type="dcterms:W3CDTF">2016-02-09T23:31:00Z</dcterms:modified>
</cp:coreProperties>
</file>