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A4" w:rsidRPr="001F5ADA" w:rsidRDefault="00102E89" w:rsidP="000830A4">
      <w:pPr>
        <w:spacing w:after="240" w:line="23" w:lineRule="atLeast"/>
        <w:jc w:val="center"/>
        <w:rPr>
          <w:b/>
          <w:smallCaps/>
          <w:sz w:val="32"/>
          <w:szCs w:val="32"/>
          <w:lang w:val="es-US"/>
        </w:rPr>
        <w:sectPr w:rsidR="000830A4" w:rsidRPr="001F5ADA" w:rsidSect="00FA41CE">
          <w:endnotePr>
            <w:numFmt w:val="decimal"/>
          </w:endnotePr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1F5ADA">
        <w:rPr>
          <w:b/>
          <w:smallCaps/>
          <w:sz w:val="32"/>
          <w:szCs w:val="32"/>
          <w:lang w:val="es-US"/>
        </w:rPr>
        <w:t>La Vida Importa:</w:t>
      </w:r>
      <w:r w:rsidR="000830A4" w:rsidRPr="001F5ADA">
        <w:rPr>
          <w:b/>
          <w:smallCaps/>
          <w:sz w:val="32"/>
          <w:szCs w:val="32"/>
          <w:lang w:val="es-US"/>
        </w:rPr>
        <w:t xml:space="preserve"> Roe cumple 40</w:t>
      </w:r>
    </w:p>
    <w:p w:rsidR="000830A4" w:rsidRPr="000830A4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  <w:sectPr w:rsidR="000830A4" w:rsidRPr="000830A4" w:rsidSect="00FA41CE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lastRenderedPageBreak/>
        <w:t>Con la edad viene la sabiduría, o así dicen.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Roe vs.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Wade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ha cumplido 40. ¿Y qué hemos aprendido?</w:t>
      </w:r>
    </w:p>
    <w:p w:rsidR="000830A4" w:rsidRPr="00EE6252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bookmarkStart w:id="0" w:name="_GoBack"/>
      <w:bookmarkEnd w:id="0"/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Cuarenta años más tarde, las referencias a la “vida en potencia” del fallo sobre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Roe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, en el mejor de los casos, parecen anticuad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as </w:t>
      </w:r>
      <w:r w:rsidR="00C508F9">
        <w:rPr>
          <w:rFonts w:ascii="Sabon-Roman" w:eastAsiaTheme="minorHAnsi" w:hAnsi="Sabon-Roman" w:cs="Sabon-Roman"/>
          <w:sz w:val="23"/>
          <w:szCs w:val="23"/>
          <w:lang w:val="es-US"/>
        </w:rPr>
        <w:t xml:space="preserve">científicamente. Incluso los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activistas del derecho al aborto ahora reconocen el hecho biológico básico de que la vida humana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comienza en la concepción.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1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E00A77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Por desgracia, ya que la mayoría ha sido reticente a admitir esto públicamente, muchos estadounidenses (incluso algunos políticos católicos declaradamente a favor del derecho de la mujer a decidir) aún no comprenden que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la ciencia instruye a la enseñanza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de la Iglesia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en este caso.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2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Cuarenta años más tarde, es teológicamente obtuso y también científicamente mal informado hacer este tipo de declaraciones: “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Como católico, creo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que la vida comienza en la concepción, pero...”. L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os seres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humanos comenzamos nuestra existencia cuando el espermatozoide de nuestro padre se encuentra con el óvulo de nuestra madre no importa si lo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creamos 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o no. Un ser humano, en todos los demás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contextos en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 la historia de EE.UU., excepto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durante la época de la esclavitud, </w:t>
      </w:r>
      <w:r w:rsidR="00D91248">
        <w:rPr>
          <w:rFonts w:ascii="Sabon-Roman" w:eastAsiaTheme="minorHAnsi" w:hAnsi="Sabon-Roman" w:cs="Sabon-Roman"/>
          <w:sz w:val="23"/>
          <w:szCs w:val="23"/>
          <w:lang w:val="es-US"/>
        </w:rPr>
        <w:t xml:space="preserve">se ha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considerado que disfru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ta de ciertos derechos humanos,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simplemente por ser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un ser humano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. Un niño hoy, en cada contexto de la ley estadounidense excepto el aborto, merece el cuidado y la protección de sus padres –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sencillamente porque es su hijo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3</w:t>
      </w:r>
    </w:p>
    <w:p w:rsidR="000830A4" w:rsidRPr="00EE6252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Cuarenta años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 más tarde Estados Unidos sigue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teniendo uno de los regímenes respecto al aborto más extremos del m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undo. Sin embargo, a menudo nos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hacen creer que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Roe vs.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Wade</w:t>
      </w:r>
      <w:proofErr w:type="spellEnd"/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simplemente legalizó el aborto en los tres primeros meses del embarazo. El problema es que en realidad la Corte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Roe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dijo que el aborto es permisible por cualquier motivo también en los tres meses siguientes. A continuación dijo que las leyes contra e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l aborto deben tener una amplia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excepción de salud, incluso en el último “trimestre”, pero sólo detalló el alcance de la excepción en el caso complementario y poco conocido de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Doe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 vs. Bolton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, decidido el mismo día. Con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Doe</w:t>
      </w:r>
      <w:proofErr w:type="spellEnd"/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, la Corte anunció que la salud, a los efectos de la ley del aborto en el último trimestre, sería sinónimo</w:t>
      </w:r>
      <w:r w:rsidR="00013E7E">
        <w:rPr>
          <w:rFonts w:ascii="Sabon-Roman" w:eastAsiaTheme="minorHAnsi" w:hAnsi="Sabon-Roman" w:cs="Sabon-Roman"/>
          <w:sz w:val="23"/>
          <w:szCs w:val="23"/>
          <w:lang w:val="es-US"/>
        </w:rPr>
        <w:t xml:space="preserve"> del “bienestar físico,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emocional, psicológico, familiar...” de la madre –en otras palabras, todas las razones que podría dar una mujer embarazada que quiere abortar como primera opción.</w:t>
      </w:r>
    </w:p>
    <w:p w:rsidR="00E84048" w:rsidRPr="00EE6252" w:rsidRDefault="00E84048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Juntos,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Roe y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Doe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 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muestran un ejemplo dramático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 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la excepción que se impone a la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regla, y hace que EE.UU. sea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uno de los nueve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países del mundo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que 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lastRenderedPageBreak/>
        <w:t xml:space="preserve">permiten el aborto después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 14 semanas de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embarazo, y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uno de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los únicos cuatro 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países que permiten el aborto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por cualquier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razón después de la viabilidad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fetal, 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4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pero la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 mayoría de los 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estadounidenses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todavía a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sume erróneamente que el aborto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está estrictame</w:t>
      </w:r>
      <w:r w:rsidR="00E84048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nte limitado después del primer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trimestre.</w:t>
      </w:r>
    </w:p>
    <w:p w:rsidR="00E84048" w:rsidRPr="00EE6252" w:rsidRDefault="00E84048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Cuarenta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años más tarde, la salud de las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mujeres sigue s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iendo un tema central, pero los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datos científico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 no defienden que el acceso al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aborto sea a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lgo saludable para las mujeres.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Irrefutables,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aunque poco conocidos, son los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datos que muestran una mayor pr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obabilidad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 parto pr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ematuro y de placenta previa en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embarazos pos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teriores, los cuales ponen a la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madre y al niño en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mayor riesgo de complicaciones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 la salud y la vida en peligro.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5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Las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mujeres que ha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n tenido abortos también tienen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mayor riesgo de ansied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ad, depresión y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abuso de narcóticos. Un “meta-análisis”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(es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decir, un estu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dio de estudios) en 2011 reveló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que más de la mi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tad de todas las mujeres sufren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problemas de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salud mental de leves a severos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después de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sus abortos, incluso un 155% de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aumento en el riesgo de conducta suicida.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6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Las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complicaciones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a corto plazo, como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hemorragia,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perforación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uterina e infección lastiman 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decenas de miles de mujeres cada año.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7</w:t>
      </w:r>
    </w:p>
    <w:p w:rsidR="004A3829" w:rsidRPr="00EE6252" w:rsidRDefault="004A3829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4A3829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Cuarenta años má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 tarde, el aborto se considera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un mal necesario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con demasiada frecuencia: un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mal, porque s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e deshace de la vida inocente y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dependiente, de un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único y valioso niño no nacido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nacer;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“necesario”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, ya que se afirma que la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igualdad de la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 mujeres depende de ello. Pero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¿no es más bie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n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machista afirmar que para que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una mujer sea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igual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a un hombre deberá tener el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derecho a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ser más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como un hombre (es decir, no estar embarazada)? ¿Acaso esa afirmación no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tiende a p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romover una devaluación y hasta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rechazo de l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a capacidad de las mujeres para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tener hijos, e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sa misma capacidad que hace que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las mujeres sean diferentes a los hombres? Para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ser auténtica la ig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ualdad, ¿no se requiere que los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hombres y la socieda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 en general respeten, protejan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y apoyen l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a capacidad reproductiva de las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mujeres, junto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con sus otros muchos talentos y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habilidades? No todas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las mujeres se convierten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en madres, per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o las que tienen hijos dependen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 una cultura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 reconocimiento del valor del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embarazo y la maternidad –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la crianza de un ser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humano individual y único–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para su apoyo social y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profesi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onal. De hecho, los sacrificios </w:t>
      </w:r>
      <w:r w:rsidR="00C508F9">
        <w:rPr>
          <w:rFonts w:ascii="Sabon-Roman" w:eastAsiaTheme="minorHAnsi" w:hAnsi="Sabon-Roman" w:cs="Sabon-Roman"/>
          <w:sz w:val="23"/>
          <w:szCs w:val="23"/>
          <w:lang w:val="es-US"/>
        </w:rPr>
        <w:t xml:space="preserve">físicos,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emociona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les y profesionales que afectan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 las mujeres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durante y después del embarazo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serían mucho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más ensalzados y recompensados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si nosotros, como</w:t>
      </w:r>
      <w:r w:rsidR="00C508F9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lastRenderedPageBreak/>
        <w:t xml:space="preserve">cultura, fuéramos más honestos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y coherent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es acerca de la dignidad de los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seres humanos confiados a su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cuidado. </w:t>
      </w:r>
    </w:p>
    <w:p w:rsidR="004A3829" w:rsidRPr="00EE6252" w:rsidRDefault="004A3829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Cuarenta años de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spués, las mujeres de todos los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orígenes –ricas y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con alto nivel educativo y las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pobres y desfavorecidas–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dan fe de la dificultad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 encontrar hombres q</w:t>
      </w:r>
      <w:r w:rsidR="004A3829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ue merecen, y están dispuestos, </w:t>
      </w:r>
      <w:r w:rsidR="00C508F9">
        <w:rPr>
          <w:rFonts w:ascii="Sabon-Roman" w:eastAsiaTheme="minorHAnsi" w:hAnsi="Sabon-Roman" w:cs="Sabon-Roman"/>
          <w:sz w:val="23"/>
          <w:szCs w:val="23"/>
          <w:lang w:val="es-US"/>
        </w:rPr>
        <w:t xml:space="preserve">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comprometerse con el matrimonio.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8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Podrían ser interesantes, talentosas, listas para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la diversión, sí. ¿Casaderas? No tanto. Aquí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radica un problema complejo con muchas causas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posibles.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9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Pero en la última década y media,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varios economistas han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demostrado que las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leyes liberales sobre el aborto y la anticoncepción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generalizada, especialmente cuando actúan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juntas, h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an dado poder a los hombres que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esperan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o inician relaciones sexuales sin la necesidad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o el deseo de algún tipo de compromiso.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10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“Hubo una vez” en que las mujeres estaban en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posición de hacer exigencias serias a los hombres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antes de la intimidad física debido al compromiso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necesario para el cuidado del niño que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pudiera </w:t>
      </w:r>
      <w:r w:rsidR="00C508F9">
        <w:rPr>
          <w:rFonts w:ascii="Sabon-Roman" w:eastAsiaTheme="minorHAnsi" w:hAnsi="Sabon-Roman" w:cs="Sabon-Roman"/>
          <w:sz w:val="23"/>
          <w:szCs w:val="23"/>
          <w:lang w:val="es-US"/>
        </w:rPr>
        <w:t xml:space="preserve">resultar. La amplia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disponibilidad de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anticonceptivos y del aborto han reajustado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este conjunto de expectativas culturales en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favor de la prerrogativa masculina de esperar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sexo con poco o ningún compromiso. El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aumento de la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confianza en los anticonceptivos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(junto a la realidad permanente de su fracaso)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se ha traducido, cuarenta años más tarde, en un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incremento en las tasas de embarazos no deseados,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las madres solteras y el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aborto, los cuales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afectan desproporcionadamente a las mujeres,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especialmente a las pobres.</w:t>
      </w:r>
      <w:r w:rsidRPr="00FB7BC0">
        <w:rPr>
          <w:rFonts w:ascii="Sabon-Roman" w:eastAsiaTheme="minorHAnsi" w:hAnsi="Sabon-Roman" w:cs="Sabon-Roman"/>
          <w:sz w:val="23"/>
          <w:szCs w:val="23"/>
          <w:vertAlign w:val="superscript"/>
          <w:lang w:val="es-US"/>
        </w:rPr>
        <w:t>11</w:t>
      </w:r>
    </w:p>
    <w:p w:rsidR="00DD2645" w:rsidRPr="00EE6252" w:rsidRDefault="00DD2645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Cuarenta años más tarde, la comunidad pro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vida está tan comprometida como siempre con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la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promoción de la dignidad humana de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la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>madre y del niño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. De hecho, es la vulnerabilidad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 </w:t>
      </w:r>
      <w:r w:rsidR="00DD2645"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todos los </w:t>
      </w:r>
      <w:r w:rsidRPr="00FB7BC0">
        <w:rPr>
          <w:rFonts w:ascii="Sabon-Italic" w:eastAsiaTheme="minorHAnsi" w:hAnsi="Sabon-Italic" w:cs="Sabon-Italic"/>
          <w:i/>
          <w:iCs/>
          <w:sz w:val="23"/>
          <w:szCs w:val="23"/>
          <w:lang w:val="es-US"/>
        </w:rPr>
        <w:t xml:space="preserve">involucrados en el aborto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lo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que ha</w:t>
      </w:r>
      <w:r w:rsidR="00E73E0A">
        <w:rPr>
          <w:rFonts w:ascii="Sabon-Roman" w:eastAsiaTheme="minorHAnsi" w:hAnsi="Sabon-Roman" w:cs="Sabon-Roman"/>
          <w:sz w:val="23"/>
          <w:szCs w:val="23"/>
          <w:lang w:val="es-US"/>
        </w:rPr>
        <w:t xml:space="preserve">ce que el tema cause profunda y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constante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preocupación. La evidente vulnerabilidad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="007660BE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del ser humano inocente,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sin duda, pero también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la vulnerabilidad de la madre soltera que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siente que no tiene “más remedio” que abortar;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el ansioso padre que no tiene nada que decir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jurídicamente; los padres cuyo hijo no nacido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parece estar discapacitado o puede morir poco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después del nacimiento; la víctima de una violación;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y hasta el que practica el aborto del que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solo podemos esperar que tenga una conversión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 corazón y abandone este oficio.</w:t>
      </w:r>
    </w:p>
    <w:p w:rsidR="00DD2645" w:rsidRPr="00EE6252" w:rsidRDefault="00DD2645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  <w:lang w:val="es-US"/>
        </w:rPr>
      </w:pP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23"/>
          <w:szCs w:val="23"/>
          <w:lang w:val="es-US"/>
        </w:rPr>
      </w:pP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Cuarenta años más tarde, el valor y la gracia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demostrados por las mujeres que optan por la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vida 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frente al miedo, la incertidumbre, la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intimidación de los padres o la pareja, aparentemente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insuperables obstáculos, las hacen las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heroínas de hoy. A ellas se suman los muchos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que aconsejan, apoyan y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mantienen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lastRenderedPageBreak/>
        <w:t>a la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madre y </w:t>
      </w:r>
      <w:r w:rsidR="00C508F9">
        <w:rPr>
          <w:rFonts w:ascii="Sabon-Roman" w:eastAsiaTheme="minorHAnsi" w:hAnsi="Sabon-Roman" w:cs="Sabon-Roman"/>
          <w:sz w:val="23"/>
          <w:szCs w:val="23"/>
          <w:lang w:val="es-US"/>
        </w:rPr>
        <w:t xml:space="preserve">la criatura antes y después del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nacimiento.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Tal amor de entrega –sobre todo frente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a los cuarenta años de “elección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”– es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poderosamente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transformador de la madre, del</w:t>
      </w:r>
      <w:r w:rsidR="00DD2645" w:rsidRPr="00FB7BC0">
        <w:rPr>
          <w:rFonts w:ascii="Sabon-Roman" w:eastAsiaTheme="minorHAnsi" w:hAnsi="Sabon-Roman" w:cs="Sabon-Roman"/>
          <w:sz w:val="23"/>
          <w:szCs w:val="23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23"/>
          <w:szCs w:val="23"/>
          <w:lang w:val="es-US"/>
        </w:rPr>
        <w:t>niño, de las familias, de las culturas.</w:t>
      </w:r>
    </w:p>
    <w:p w:rsidR="00DD2645" w:rsidRPr="007660BE" w:rsidRDefault="00DD2645" w:rsidP="000830A4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2"/>
          <w:szCs w:val="12"/>
          <w:lang w:val="es-US"/>
        </w:rPr>
      </w:pPr>
    </w:p>
    <w:p w:rsidR="00EE6252" w:rsidRPr="002644E9" w:rsidRDefault="000830A4" w:rsidP="00EE6252">
      <w:pPr>
        <w:autoSpaceDE w:val="0"/>
        <w:autoSpaceDN w:val="0"/>
        <w:adjustRightInd w:val="0"/>
        <w:rPr>
          <w:rFonts w:ascii="Sabon-Italic" w:eastAsiaTheme="minorHAnsi" w:hAnsi="Sabon-Italic" w:cs="Sabon-Italic"/>
          <w:iCs/>
          <w:sz w:val="12"/>
          <w:szCs w:val="12"/>
        </w:rPr>
      </w:pPr>
      <w:r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>Las más recientes publicaciones de Erika Bachiochi,</w:t>
      </w:r>
      <w:r w:rsidR="00D5542C"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Esq. incluyen </w:t>
      </w:r>
      <w:r w:rsidRPr="002644E9">
        <w:rPr>
          <w:rFonts w:ascii="Sabon-Roman" w:eastAsiaTheme="minorHAnsi" w:hAnsi="Sabon-Roman" w:cs="Sabon-Roman"/>
          <w:sz w:val="20"/>
          <w:szCs w:val="20"/>
        </w:rPr>
        <w:t>Women, Sex &amp; the Church: A Case</w:t>
      </w:r>
      <w:r w:rsidR="00D5542C"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 </w:t>
      </w:r>
      <w:r w:rsidRPr="002644E9">
        <w:rPr>
          <w:rFonts w:ascii="Sabon-Roman" w:eastAsiaTheme="minorHAnsi" w:hAnsi="Sabon-Roman" w:cs="Sabon-Roman"/>
          <w:sz w:val="20"/>
          <w:szCs w:val="20"/>
        </w:rPr>
        <w:t xml:space="preserve">for Catholic Teaching </w:t>
      </w:r>
      <w:r w:rsidRPr="002644E9">
        <w:rPr>
          <w:rFonts w:ascii="Sabon-Italic" w:eastAsiaTheme="minorHAnsi" w:hAnsi="Sabon-Italic" w:cs="Sabon-Italic"/>
          <w:iCs/>
          <w:sz w:val="20"/>
          <w:szCs w:val="20"/>
        </w:rPr>
        <w:t>(2010)</w:t>
      </w:r>
      <w:r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 y “Women, Sexual</w:t>
      </w:r>
      <w:r w:rsidR="00D5542C"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Asymmetry &amp; Catholic Teaching,” </w:t>
      </w:r>
      <w:r w:rsidRPr="002644E9">
        <w:rPr>
          <w:rFonts w:ascii="Sabon-Roman" w:eastAsiaTheme="minorHAnsi" w:hAnsi="Sabon-Roman" w:cs="Sabon-Roman"/>
          <w:sz w:val="20"/>
          <w:szCs w:val="20"/>
        </w:rPr>
        <w:t>Christian</w:t>
      </w:r>
      <w:r w:rsidR="00D5542C" w:rsidRPr="002644E9">
        <w:rPr>
          <w:rFonts w:ascii="Sabon-Italic" w:eastAsiaTheme="minorHAnsi" w:hAnsi="Sabon-Italic" w:cs="Sabon-Italic"/>
          <w:i/>
          <w:iCs/>
          <w:sz w:val="20"/>
          <w:szCs w:val="20"/>
        </w:rPr>
        <w:t xml:space="preserve"> </w:t>
      </w:r>
      <w:r w:rsidRPr="002644E9">
        <w:rPr>
          <w:rFonts w:ascii="Sabon-Roman" w:eastAsiaTheme="minorHAnsi" w:hAnsi="Sabon-Roman" w:cs="Sabon-Roman"/>
          <w:sz w:val="20"/>
          <w:szCs w:val="20"/>
        </w:rPr>
        <w:t xml:space="preserve">Bioethics </w:t>
      </w:r>
      <w:r w:rsidRPr="002644E9">
        <w:rPr>
          <w:rFonts w:ascii="Sabon-Italic" w:eastAsiaTheme="minorHAnsi" w:hAnsi="Sabon-Italic" w:cs="Sabon-Italic"/>
          <w:iCs/>
          <w:sz w:val="20"/>
          <w:szCs w:val="20"/>
        </w:rPr>
        <w:t>(Oxford University Press, 2013).</w:t>
      </w:r>
    </w:p>
    <w:p w:rsidR="00EE6252" w:rsidRPr="002644E9" w:rsidRDefault="00EE6252" w:rsidP="00EE625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2"/>
          <w:szCs w:val="12"/>
        </w:rPr>
      </w:pPr>
    </w:p>
    <w:p w:rsidR="00EE6252" w:rsidRDefault="00EE6252" w:rsidP="00EE6252">
      <w:pPr>
        <w:spacing w:after="200" w:line="276" w:lineRule="auto"/>
        <w:rPr>
          <w:rFonts w:ascii="Sabon-Italic" w:eastAsiaTheme="minorHAnsi" w:hAnsi="Sabon-Italic" w:cs="Sabon-Italic"/>
          <w:i/>
          <w:iCs/>
          <w:sz w:val="12"/>
          <w:szCs w:val="12"/>
          <w:lang w:val="es-US"/>
        </w:rPr>
      </w:pPr>
      <w:r w:rsidRPr="00EE6252">
        <w:rPr>
          <w:rFonts w:ascii="Sabon-Italic" w:eastAsiaTheme="minorHAnsi" w:hAnsi="Sabon-Italic" w:cs="Sabon-Italic"/>
          <w:i/>
          <w:iCs/>
          <w:sz w:val="20"/>
          <w:szCs w:val="20"/>
          <w:lang w:val="es-US"/>
        </w:rPr>
        <w:t xml:space="preserve">Traducción: Marina A. Herrera, </w:t>
      </w:r>
      <w:proofErr w:type="spellStart"/>
      <w:r w:rsidRPr="00EE6252">
        <w:rPr>
          <w:rFonts w:ascii="Sabon-Italic" w:eastAsiaTheme="minorHAnsi" w:hAnsi="Sabon-Italic" w:cs="Sabon-Italic"/>
          <w:i/>
          <w:iCs/>
          <w:sz w:val="20"/>
          <w:szCs w:val="20"/>
          <w:lang w:val="es-US"/>
        </w:rPr>
        <w:t>Ph.D</w:t>
      </w:r>
      <w:proofErr w:type="spellEnd"/>
      <w:r w:rsidRPr="00EE6252">
        <w:rPr>
          <w:rFonts w:ascii="Sabon-Italic" w:eastAsiaTheme="minorHAnsi" w:hAnsi="Sabon-Italic" w:cs="Sabon-Italic"/>
          <w:i/>
          <w:iCs/>
          <w:sz w:val="20"/>
          <w:szCs w:val="20"/>
          <w:lang w:val="es-US"/>
        </w:rPr>
        <w:t>.</w:t>
      </w:r>
    </w:p>
    <w:p w:rsidR="00DD2645" w:rsidRPr="00EE6252" w:rsidRDefault="007660BE" w:rsidP="00EE6252">
      <w:pPr>
        <w:spacing w:after="200" w:line="276" w:lineRule="auto"/>
        <w:rPr>
          <w:rFonts w:ascii="Sabon-Italic" w:eastAsiaTheme="minorHAnsi" w:hAnsi="Sabon-Italic" w:cs="Sabon-Italic"/>
          <w:i/>
          <w:iCs/>
          <w:sz w:val="12"/>
          <w:szCs w:val="12"/>
          <w:lang w:val="es-US"/>
        </w:rPr>
      </w:pPr>
      <w:r>
        <w:rPr>
          <w:rFonts w:ascii="Sabon-Italic" w:eastAsiaTheme="minorHAnsi" w:hAnsi="Sabon-Italic" w:cs="Sabon-Italic"/>
          <w:i/>
          <w:iCs/>
          <w:sz w:val="22"/>
          <w:szCs w:val="22"/>
          <w:lang w:val="es-US"/>
        </w:rPr>
        <w:t>__________________________</w:t>
      </w: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</w:pP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1 Por ejemplo,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Frances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Kissling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, “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How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to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Think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About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Aborto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,”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www.salon.com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(16 de nov. de 2010), (teniendo en cuenta “la realidad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de que e</w:t>
      </w:r>
      <w:r w:rsidR="002F1782">
        <w:rPr>
          <w:rFonts w:ascii="Sabon-Roman" w:eastAsiaTheme="minorHAnsi" w:hAnsi="Sabon-Roman" w:cs="Sabon-Roman"/>
          <w:sz w:val="14"/>
          <w:szCs w:val="14"/>
          <w:lang w:val="es-US"/>
        </w:rPr>
        <w:t xml:space="preserve">l aborto quita la vida –la vida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humana”); Camille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Paglia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, “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Fresh</w:t>
      </w:r>
      <w:proofErr w:type="spellEnd"/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Blood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for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the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Vampire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”, 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www.salon.com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(10 de sept. de 2008),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(“Siempre he admitido francamente que el aborto es un asesinato, el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exterminio de los débiles por los poderosos”.); Mary Elizabeth Williams,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“So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What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if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Abortion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Ends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a Life?” 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www.salon.com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23 de enero de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2013), (“Yo p</w:t>
      </w:r>
      <w:r w:rsidR="002F1782">
        <w:rPr>
          <w:rFonts w:ascii="Sabon-Roman" w:eastAsiaTheme="minorHAnsi" w:hAnsi="Sabon-Roman" w:cs="Sabon-Roman"/>
          <w:sz w:val="14"/>
          <w:szCs w:val="14"/>
          <w:lang w:val="es-US"/>
        </w:rPr>
        <w:t xml:space="preserve">ondría la vida de una madre por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encima de la vida de un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feto en cada caso, incluso si todavía tengo que admitir mi convicción de</w:t>
      </w:r>
      <w:r w:rsidR="007660BE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que el feto es en verdad una vida. Una vida que merece ser sacrificada”.)</w:t>
      </w: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  <w:lang w:val="es-US"/>
        </w:rPr>
      </w:pP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2 2006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Zogby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Poll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, “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Abortion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Tough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Issue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for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Hillary Clinton and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’06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Congressional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Democrats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”; en 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www.prnewswire.com/news-releases-test/zogbyassociated-television-news-poll-reveals-abortion-toughissue-for-hillary-clinton—06-congressional-democrats-70730252.html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(visita el 24/4/13).</w:t>
      </w: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  <w:lang w:val="es-US"/>
        </w:rPr>
      </w:pP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3Helen M.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Alvaré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, “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Gonzales v.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Carhart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: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Bringing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Abortion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Law</w:t>
      </w:r>
      <w:proofErr w:type="spellEnd"/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Back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into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the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Family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Law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Fold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,” 69 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Montana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Law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Review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409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(2008) (al </w:t>
      </w:r>
      <w:r w:rsidR="002F1782">
        <w:rPr>
          <w:rFonts w:ascii="Sabon-Roman" w:eastAsiaTheme="minorHAnsi" w:hAnsi="Sabon-Roman" w:cs="Sabon-Roman"/>
          <w:sz w:val="14"/>
          <w:szCs w:val="14"/>
          <w:lang w:val="es-US"/>
        </w:rPr>
        <w:t xml:space="preserve">comentar sobre la opinión de la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Corte en Gonzales utiliza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correctamente conceptos de la ley para la familia para describir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proofErr w:type="gram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la</w:t>
      </w:r>
      <w:proofErr w:type="gram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relación entre “madre” e “hijo” en el contexto del aborto).</w:t>
      </w:r>
      <w:r w:rsidR="002F1782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="002F1782" w:rsidRPr="002644E9">
        <w:rPr>
          <w:rFonts w:ascii="Sabon-Roman" w:eastAsiaTheme="minorHAnsi" w:hAnsi="Sabon-Roman" w:cs="Sabon-Roman"/>
          <w:sz w:val="14"/>
          <w:szCs w:val="14"/>
        </w:rPr>
        <w:t xml:space="preserve">Ver también, Erika </w:t>
      </w:r>
      <w:r w:rsidRPr="002644E9">
        <w:rPr>
          <w:rFonts w:ascii="Sabon-Roman" w:eastAsiaTheme="minorHAnsi" w:hAnsi="Sabon-Roman" w:cs="Sabon-Roman"/>
          <w:sz w:val="14"/>
          <w:szCs w:val="14"/>
        </w:rPr>
        <w:t>Bachiochi, “Embodied Equality: Debunking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Equal Protection Arguments for Abortion Rights,” Harvard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Journal of Law &amp; Public Policy (2011), 932ff para discusión de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los deberes parentales en general.</w:t>
      </w: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  <w:lang w:val="es-US"/>
        </w:rPr>
      </w:pPr>
      <w:proofErr w:type="gram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4.Los</w:t>
      </w:r>
      <w:proofErr w:type="gram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cuatro países son EE.UU., Canadá, China y Corea del Norte.</w:t>
      </w:r>
    </w:p>
    <w:p w:rsidR="000830A4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  <w:lang w:val="es-US"/>
        </w:rPr>
      </w:pP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5 John M. Thorp et al., “Long</w:t>
      </w:r>
      <w:r w:rsidRPr="00FB7BC0">
        <w:rPr>
          <w:rFonts w:eastAsiaTheme="minorHAnsi"/>
          <w:sz w:val="14"/>
          <w:szCs w:val="14"/>
          <w:lang w:val="es-US"/>
        </w:rPr>
        <w:t>􀀀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Term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Physical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and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Psychological</w:t>
      </w:r>
      <w:proofErr w:type="spellEnd"/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Health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Consequences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of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Induced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Abortion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: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Review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of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the</w:t>
      </w:r>
      <w:proofErr w:type="spellEnd"/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Evidence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,” 58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Obstetrical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&amp;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Gynecological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Sur.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70, 75 (2003)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(explicando que el aborto aumenta el riesgo de placenta previa en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embarazos subsiguientes un 50% y dobla el riesgo de nacimientos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prematuros).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 w:rsidRPr="002644E9">
        <w:rPr>
          <w:rFonts w:ascii="Sabon-Roman" w:eastAsiaTheme="minorHAnsi" w:hAnsi="Sabon-Roman" w:cs="Sabon-Roman"/>
          <w:sz w:val="14"/>
          <w:szCs w:val="14"/>
        </w:rPr>
        <w:t>6 Priscilla K. Coleman, “Abortion and Mental Health: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 xml:space="preserve">Quantitative synthesis and analysis of research published 1995-2009,”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The British Journal of Psychiatry </w:t>
      </w:r>
      <w:r w:rsidRPr="002644E9">
        <w:rPr>
          <w:rFonts w:ascii="Sabon-Roman" w:eastAsiaTheme="minorHAnsi" w:hAnsi="Sabon-Roman" w:cs="Sabon-Roman"/>
          <w:sz w:val="14"/>
          <w:szCs w:val="14"/>
        </w:rPr>
        <w:t>(2011) 199:180-186.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4"/>
          <w:szCs w:val="14"/>
        </w:rPr>
      </w:pPr>
      <w:r w:rsidRPr="002644E9">
        <w:rPr>
          <w:rFonts w:ascii="Sabon-Roman" w:eastAsiaTheme="minorHAnsi" w:hAnsi="Sabon-Roman" w:cs="Sabon-Roman"/>
          <w:sz w:val="14"/>
          <w:szCs w:val="14"/>
        </w:rPr>
        <w:t xml:space="preserve">7M. Paul et al.,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A Clinician’s Guide to Medical and Surgical</w:t>
      </w:r>
      <w:r w:rsidR="007660BE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Abortion </w:t>
      </w:r>
      <w:r w:rsidR="002F1782" w:rsidRPr="002644E9">
        <w:rPr>
          <w:rFonts w:ascii="Sabon-Roman" w:eastAsiaTheme="minorHAnsi" w:hAnsi="Sabon-Roman" w:cs="Sabon-Roman"/>
          <w:sz w:val="14"/>
          <w:szCs w:val="14"/>
        </w:rPr>
        <w:t xml:space="preserve">(New York: </w:t>
      </w:r>
      <w:r w:rsidRPr="002644E9">
        <w:rPr>
          <w:rFonts w:ascii="Sabon-Roman" w:eastAsiaTheme="minorHAnsi" w:hAnsi="Sabon-Roman" w:cs="Sabon-Roman"/>
          <w:sz w:val="14"/>
          <w:szCs w:val="14"/>
        </w:rPr>
        <w:t>Churchill Livingstone, 1999), 20-21.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4"/>
          <w:szCs w:val="14"/>
        </w:rPr>
      </w:pPr>
      <w:r w:rsidRPr="002644E9">
        <w:rPr>
          <w:rFonts w:ascii="Sabon-Roman" w:eastAsiaTheme="minorHAnsi" w:hAnsi="Sabon-Roman" w:cs="Sabon-Roman"/>
          <w:sz w:val="14"/>
          <w:szCs w:val="14"/>
        </w:rPr>
        <w:t xml:space="preserve">8Ver, por ejemplo, Barbara Defoe Whitehead,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Why There Are No</w:t>
      </w:r>
      <w:r w:rsidR="007660BE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Good Men Left 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(2003) </w:t>
      </w:r>
      <w:r w:rsidRPr="002644E9">
        <w:rPr>
          <w:rFonts w:ascii="Sabon-Roman" w:eastAsiaTheme="minorHAnsi" w:hAnsi="Sabon-Roman" w:cs="Sabon-Roman"/>
          <w:sz w:val="14"/>
          <w:szCs w:val="14"/>
        </w:rPr>
        <w:t xml:space="preserve">y Kathryn Edin y Maria Kefalas,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Promises</w:t>
      </w:r>
      <w:r w:rsidR="002F1782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I Can Keep: Why Poor Women Put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Motherhood Before Marriage</w:t>
      </w:r>
      <w:r w:rsidR="007660BE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(2005).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4"/>
          <w:szCs w:val="14"/>
        </w:rPr>
      </w:pPr>
      <w:r w:rsidRPr="002644E9">
        <w:rPr>
          <w:rFonts w:ascii="Sabon-Roman" w:eastAsiaTheme="minorHAnsi" w:hAnsi="Sabon-Roman" w:cs="Sabon-Roman"/>
          <w:sz w:val="14"/>
          <w:szCs w:val="14"/>
        </w:rPr>
        <w:t xml:space="preserve">9Kay Hymowitz, Manning Up: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How the Rise of Women Has Turned</w:t>
      </w:r>
      <w:r w:rsidR="007660BE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Men into Boys </w:t>
      </w:r>
      <w:r w:rsidRPr="002644E9">
        <w:rPr>
          <w:rFonts w:ascii="Sabon-Roman" w:eastAsiaTheme="minorHAnsi" w:hAnsi="Sabon-Roman" w:cs="Sabon-Roman"/>
          <w:sz w:val="14"/>
          <w:szCs w:val="14"/>
        </w:rPr>
        <w:t xml:space="preserve">(2011); Hanna Rosin,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The End of Men </w:t>
      </w:r>
      <w:r w:rsidRPr="002644E9">
        <w:rPr>
          <w:rFonts w:ascii="Sabon-Roman" w:eastAsiaTheme="minorHAnsi" w:hAnsi="Sabon-Roman" w:cs="Sabon-Roman"/>
          <w:sz w:val="14"/>
          <w:szCs w:val="14"/>
        </w:rPr>
        <w:t>(2012).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 w:rsidRPr="002644E9">
        <w:rPr>
          <w:rFonts w:ascii="Sabon-Roman" w:eastAsiaTheme="minorHAnsi" w:hAnsi="Sabon-Roman" w:cs="Sabon-Roman"/>
          <w:sz w:val="14"/>
          <w:szCs w:val="14"/>
        </w:rPr>
        <w:t>10George A. Akerlof et al., “An Analysis of Out-of-Wedlock</w:t>
      </w:r>
      <w:r w:rsidR="002F1782" w:rsidRPr="002644E9">
        <w:rPr>
          <w:rFonts w:ascii="Sabon-Roman" w:eastAsiaTheme="minorHAnsi" w:hAnsi="Sabon-Roman" w:cs="Sabon-Roman"/>
          <w:sz w:val="14"/>
          <w:szCs w:val="14"/>
        </w:rPr>
        <w:t xml:space="preserve"> Births in the United </w:t>
      </w:r>
      <w:r w:rsidRPr="002644E9">
        <w:rPr>
          <w:rFonts w:ascii="Sabon-Roman" w:eastAsiaTheme="minorHAnsi" w:hAnsi="Sabon-Roman" w:cs="Sabon-Roman"/>
          <w:sz w:val="14"/>
          <w:szCs w:val="14"/>
        </w:rPr>
        <w:t xml:space="preserve">States,”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The Quarterly Journal of Economics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 xml:space="preserve">(1996), 111:277-317; Timothy Reichert, “Bitter Pill,”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First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Things </w:t>
      </w:r>
      <w:r w:rsidRPr="002644E9">
        <w:rPr>
          <w:rFonts w:ascii="Sabon-Roman" w:eastAsiaTheme="minorHAnsi" w:hAnsi="Sabon-Roman" w:cs="Sabon-Roman"/>
          <w:sz w:val="14"/>
          <w:szCs w:val="14"/>
        </w:rPr>
        <w:t>(May 2010); Joseph Anthony Burke y Catherine Pakaluk;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“The Contraceptive Revolution and the Second Demographic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Transition: An Economic Model of Sex, Fertility, and Marriage,”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Working Paper No. 1003, Ave Maria University (2010); ver también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los sociólogos Mark Regnerus y Jeremy Uecker. Premarital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Roman" w:eastAsiaTheme="minorHAnsi" w:hAnsi="Sabon-Roman" w:cs="Sabon-Roman"/>
          <w:sz w:val="14"/>
          <w:szCs w:val="14"/>
        </w:rPr>
        <w:t>Sex in America:</w:t>
      </w:r>
      <w:r w:rsidR="007660BE" w:rsidRPr="002644E9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>How Young Americans Meet, Mate, and Think</w:t>
      </w:r>
      <w:r w:rsidR="007660BE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</w:t>
      </w:r>
      <w:r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about Marrying </w:t>
      </w:r>
      <w:r w:rsidRPr="002644E9">
        <w:rPr>
          <w:rFonts w:ascii="Sabon-Roman" w:eastAsiaTheme="minorHAnsi" w:hAnsi="Sabon-Roman" w:cs="Sabon-Roman"/>
          <w:sz w:val="14"/>
          <w:szCs w:val="14"/>
        </w:rPr>
        <w:t>(Oxford University Press, 2011).</w:t>
      </w:r>
    </w:p>
    <w:p w:rsidR="00B61EF5" w:rsidRPr="00FB7BC0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  <w:lang w:val="es-US"/>
        </w:rPr>
      </w:pP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11Ver Erika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Bachiochi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, “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Women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, Sexual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Asymmetry</w:t>
      </w:r>
      <w:proofErr w:type="spellEnd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&amp; </w:t>
      </w:r>
      <w:proofErr w:type="spellStart"/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Catholic</w:t>
      </w:r>
      <w:proofErr w:type="spellEnd"/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>Teaching</w:t>
      </w:r>
      <w:proofErr w:type="spellEnd"/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,” que será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publicado en </w:t>
      </w:r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Christian </w:t>
      </w:r>
      <w:proofErr w:type="spellStart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Bioethics</w:t>
      </w:r>
      <w:proofErr w:type="spellEnd"/>
      <w:r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(2013) para</w:t>
      </w:r>
      <w:r w:rsidR="007660BE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r w:rsidRPr="00FB7BC0">
        <w:rPr>
          <w:rFonts w:ascii="Sabon-Roman" w:eastAsiaTheme="minorHAnsi" w:hAnsi="Sabon-Roman" w:cs="Sabon-Roman"/>
          <w:sz w:val="14"/>
          <w:szCs w:val="14"/>
          <w:lang w:val="es-US"/>
        </w:rPr>
        <w:t>un análisis de estas investigaciones.</w:t>
      </w:r>
    </w:p>
    <w:p w:rsidR="000830A4" w:rsidRPr="000830A4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  <w:lang w:val="es-US"/>
        </w:rPr>
      </w:pP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Pr="002644E9">
        <w:rPr>
          <w:rFonts w:ascii="Sabon-Roman" w:eastAsiaTheme="minorHAnsi" w:hAnsi="Sabon-Roman" w:cs="Sabon-Roman"/>
          <w:sz w:val="22"/>
          <w:szCs w:val="22"/>
        </w:rPr>
        <w:softHyphen/>
      </w:r>
      <w:r w:rsidR="00B61EF5">
        <w:rPr>
          <w:rFonts w:ascii="Sabon-Roman" w:eastAsiaTheme="minorHAnsi" w:hAnsi="Sabon-Roman" w:cs="Sabon-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4E9">
        <w:rPr>
          <w:rFonts w:ascii="Sabon-Roman" w:eastAsiaTheme="minorHAnsi" w:hAnsi="Sabon-Roman" w:cs="Sabon-Roman"/>
          <w:sz w:val="18"/>
          <w:szCs w:val="18"/>
        </w:rPr>
        <w:t>Secretariat of Pro-Life Activities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r w:rsidRPr="002644E9">
        <w:rPr>
          <w:rFonts w:ascii="Sabon-Roman" w:eastAsiaTheme="minorHAnsi" w:hAnsi="Sabon-Roman" w:cs="Sabon-Roman"/>
          <w:sz w:val="18"/>
          <w:szCs w:val="18"/>
        </w:rPr>
        <w:t>United States Conference of Catholic Bishops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2644E9">
        <w:rPr>
          <w:rFonts w:ascii="Sabon-Roman" w:eastAsiaTheme="minorHAnsi" w:hAnsi="Sabon-Roman" w:cs="Sabon-Roman"/>
          <w:sz w:val="16"/>
          <w:szCs w:val="16"/>
        </w:rPr>
        <w:t>3211 Fourth Street NE • Washington, DC 20017-1194</w:t>
      </w:r>
    </w:p>
    <w:p w:rsidR="000830A4" w:rsidRPr="002644E9" w:rsidRDefault="000830A4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  <w:r w:rsidRPr="002644E9">
        <w:rPr>
          <w:rFonts w:ascii="Sabon-Roman" w:eastAsiaTheme="minorHAnsi" w:hAnsi="Sabon-Roman" w:cs="Sabon-Roman"/>
          <w:sz w:val="16"/>
          <w:szCs w:val="16"/>
        </w:rPr>
        <w:t>Tel: (202) 541-3070 • Fax: (202) 541-3054</w:t>
      </w:r>
    </w:p>
    <w:p w:rsidR="00FB7BC0" w:rsidRPr="002644E9" w:rsidRDefault="000830A4" w:rsidP="000830A4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2644E9">
        <w:rPr>
          <w:rFonts w:ascii="Sabon-Roman" w:eastAsiaTheme="minorHAnsi" w:hAnsi="Sabon-Roman" w:cs="Sabon-Roman"/>
          <w:sz w:val="18"/>
          <w:szCs w:val="18"/>
        </w:rPr>
        <w:t xml:space="preserve">Website: </w:t>
      </w:r>
      <w:r w:rsidR="002644E9">
        <w:fldChar w:fldCharType="begin"/>
      </w:r>
      <w:r w:rsidR="002644E9">
        <w:instrText xml:space="preserve"> HYPERLINK "http://www.usccb.org/prolife" </w:instrText>
      </w:r>
      <w:r w:rsidR="002644E9">
        <w:fldChar w:fldCharType="separate"/>
      </w:r>
      <w:r w:rsidRPr="002644E9">
        <w:rPr>
          <w:rStyle w:val="Hyperlink"/>
          <w:rFonts w:ascii="Sabon-Italic" w:eastAsiaTheme="minorHAnsi" w:hAnsi="Sabon-Italic" w:cs="Sabon-Italic"/>
          <w:i/>
          <w:iCs/>
          <w:sz w:val="18"/>
          <w:szCs w:val="18"/>
        </w:rPr>
        <w:t>www.usccb.org/prolife</w:t>
      </w:r>
      <w:r w:rsidR="002644E9">
        <w:rPr>
          <w:rStyle w:val="Hyperlink"/>
          <w:rFonts w:ascii="Sabon-Italic" w:eastAsiaTheme="minorHAnsi" w:hAnsi="Sabon-Italic" w:cs="Sabon-Italic"/>
          <w:i/>
          <w:iCs/>
          <w:sz w:val="18"/>
          <w:szCs w:val="18"/>
          <w:lang w:val="es-US"/>
        </w:rPr>
        <w:fldChar w:fldCharType="end"/>
      </w:r>
    </w:p>
    <w:p w:rsidR="00FB7BC0" w:rsidRPr="002644E9" w:rsidRDefault="00FB7BC0" w:rsidP="000830A4">
      <w:pPr>
        <w:autoSpaceDE w:val="0"/>
        <w:autoSpaceDN w:val="0"/>
        <w:adjustRightInd w:val="0"/>
        <w:rPr>
          <w:rFonts w:ascii="Sabon-Roman" w:eastAsiaTheme="minorHAnsi" w:hAnsi="Sabon-Roman" w:cs="Sabon-Roman"/>
          <w:sz w:val="12"/>
          <w:szCs w:val="12"/>
        </w:rPr>
      </w:pPr>
    </w:p>
    <w:p w:rsidR="005F2552" w:rsidRPr="002644E9" w:rsidRDefault="002F1782" w:rsidP="00B61EF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  <w:lang w:val="es-US"/>
        </w:rPr>
        <w:t>Cruces</w:t>
      </w:r>
      <w:proofErr w:type="gramStart"/>
      <w:r>
        <w:rPr>
          <w:rFonts w:ascii="Sabon-Roman" w:eastAsiaTheme="minorHAnsi" w:hAnsi="Sabon-Roman" w:cs="Sabon-Roman"/>
          <w:sz w:val="14"/>
          <w:szCs w:val="14"/>
          <w:lang w:val="es-US"/>
        </w:rPr>
        <w:t>.</w:t>
      </w:r>
      <w:r w:rsidR="000830A4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>©</w:t>
      </w:r>
      <w:proofErr w:type="gramEnd"/>
      <w:r w:rsidR="000830A4" w:rsidRPr="00FB7BC0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proofErr w:type="spellStart"/>
      <w:r w:rsidR="000830A4" w:rsidRPr="00FB7BC0">
        <w:rPr>
          <w:rFonts w:ascii="Sabon-Roman" w:eastAsiaTheme="minorHAnsi" w:hAnsi="Sabon-Roman" w:cs="Sabon-Roman"/>
          <w:sz w:val="14"/>
          <w:szCs w:val="14"/>
          <w:lang w:val="es-US"/>
        </w:rPr>
        <w:t>Veer</w:t>
      </w:r>
      <w:proofErr w:type="spellEnd"/>
      <w:r w:rsidR="000830A4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 </w:t>
      </w:r>
      <w:proofErr w:type="spellStart"/>
      <w:r w:rsidR="000830A4" w:rsidRPr="00FB7BC0">
        <w:rPr>
          <w:rFonts w:ascii="Sabon-Roman" w:eastAsiaTheme="minorHAnsi" w:hAnsi="Sabon-Roman" w:cs="Sabon-Roman"/>
          <w:sz w:val="14"/>
          <w:szCs w:val="14"/>
          <w:lang w:val="es-US"/>
        </w:rPr>
        <w:t>Images</w:t>
      </w:r>
      <w:proofErr w:type="spellEnd"/>
      <w:r w:rsidR="000830A4" w:rsidRPr="00FB7BC0">
        <w:rPr>
          <w:rFonts w:ascii="Sabon-Roman" w:eastAsiaTheme="minorHAnsi" w:hAnsi="Sabon-Roman" w:cs="Sabon-Roman"/>
          <w:sz w:val="14"/>
          <w:szCs w:val="14"/>
          <w:lang w:val="es-US"/>
        </w:rPr>
        <w:t>. Todos los derechos están</w:t>
      </w:r>
      <w:r w:rsidR="00B61EF5">
        <w:rPr>
          <w:rFonts w:ascii="Sabon-Italic" w:eastAsiaTheme="minorHAnsi" w:hAnsi="Sabon-Italic" w:cs="Sabon-Italic"/>
          <w:i/>
          <w:iCs/>
          <w:sz w:val="14"/>
          <w:szCs w:val="14"/>
          <w:lang w:val="es-US"/>
        </w:rPr>
        <w:t xml:space="preserve"> </w:t>
      </w:r>
      <w:r w:rsidR="000830A4" w:rsidRPr="00FB7BC0">
        <w:rPr>
          <w:rFonts w:ascii="Sabon-Roman" w:eastAsiaTheme="minorHAnsi" w:hAnsi="Sabon-Roman" w:cs="Sabon-Roman"/>
          <w:sz w:val="14"/>
          <w:szCs w:val="14"/>
          <w:lang w:val="es-US"/>
        </w:rPr>
        <w:t xml:space="preserve">reservados. </w:t>
      </w:r>
      <w:r w:rsidR="000830A4" w:rsidRPr="002644E9">
        <w:rPr>
          <w:rFonts w:ascii="Sabon-Roman" w:eastAsiaTheme="minorHAnsi" w:hAnsi="Sabon-Roman" w:cs="Sabon-Roman"/>
          <w:sz w:val="14"/>
          <w:szCs w:val="14"/>
        </w:rPr>
        <w:t>Copyright © 2013, United States Conference of Catholic Bishops,</w:t>
      </w:r>
      <w:r w:rsidR="00B61EF5" w:rsidRPr="002644E9"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 </w:t>
      </w:r>
      <w:r w:rsidR="000830A4" w:rsidRPr="002644E9">
        <w:rPr>
          <w:rFonts w:ascii="Sabon-Roman" w:eastAsiaTheme="minorHAnsi" w:hAnsi="Sabon-Roman" w:cs="Sabon-Roman"/>
          <w:sz w:val="14"/>
          <w:szCs w:val="14"/>
        </w:rPr>
        <w:t>Washington, D.C.</w:t>
      </w:r>
    </w:p>
    <w:sectPr w:rsidR="005F2552" w:rsidRPr="002644E9" w:rsidSect="00FA41CE">
      <w:endnotePr>
        <w:numFmt w:val="decimal"/>
      </w:endnotePr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5A" w:rsidRDefault="00C3335A" w:rsidP="000830A4">
      <w:r>
        <w:separator/>
      </w:r>
    </w:p>
  </w:endnote>
  <w:endnote w:type="continuationSeparator" w:id="0">
    <w:p w:rsidR="00C3335A" w:rsidRDefault="00C3335A" w:rsidP="0008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5A" w:rsidRDefault="00C3335A" w:rsidP="000830A4">
      <w:r>
        <w:separator/>
      </w:r>
    </w:p>
  </w:footnote>
  <w:footnote w:type="continuationSeparator" w:id="0">
    <w:p w:rsidR="00C3335A" w:rsidRDefault="00C3335A" w:rsidP="0008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A4"/>
    <w:rsid w:val="00013E7E"/>
    <w:rsid w:val="000830A4"/>
    <w:rsid w:val="00102E89"/>
    <w:rsid w:val="00141084"/>
    <w:rsid w:val="001F5ADA"/>
    <w:rsid w:val="002644E9"/>
    <w:rsid w:val="0027126C"/>
    <w:rsid w:val="002F1782"/>
    <w:rsid w:val="00473FBB"/>
    <w:rsid w:val="004A3829"/>
    <w:rsid w:val="005F2552"/>
    <w:rsid w:val="007660BE"/>
    <w:rsid w:val="00945AD2"/>
    <w:rsid w:val="00B61B31"/>
    <w:rsid w:val="00B61EF5"/>
    <w:rsid w:val="00C3335A"/>
    <w:rsid w:val="00C508F9"/>
    <w:rsid w:val="00D5542C"/>
    <w:rsid w:val="00D91248"/>
    <w:rsid w:val="00DD2645"/>
    <w:rsid w:val="00E00A77"/>
    <w:rsid w:val="00E73E0A"/>
    <w:rsid w:val="00E84048"/>
    <w:rsid w:val="00EA03A1"/>
    <w:rsid w:val="00EE6252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830A4"/>
  </w:style>
  <w:style w:type="character" w:customStyle="1" w:styleId="EndnoteTextChar">
    <w:name w:val="Endnote Text Char"/>
    <w:basedOn w:val="DefaultParagraphFont"/>
    <w:link w:val="EndnoteText"/>
    <w:semiHidden/>
    <w:rsid w:val="00083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A4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830A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830A4"/>
  </w:style>
  <w:style w:type="character" w:customStyle="1" w:styleId="EndnoteTextChar">
    <w:name w:val="Endnote Text Char"/>
    <w:basedOn w:val="DefaultParagraphFont"/>
    <w:link w:val="EndnoteText"/>
    <w:semiHidden/>
    <w:rsid w:val="00083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A4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830A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083C-F130-4548-97B2-1A12FBBC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Christopher Jozwiak</cp:lastModifiedBy>
  <cp:revision>2</cp:revision>
  <dcterms:created xsi:type="dcterms:W3CDTF">2013-07-30T14:35:00Z</dcterms:created>
  <dcterms:modified xsi:type="dcterms:W3CDTF">2013-07-30T14:35:00Z</dcterms:modified>
</cp:coreProperties>
</file>